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6896" w14:textId="77777777" w:rsidR="00463DA1" w:rsidRDefault="00463DA1" w:rsidP="00463DA1">
      <w:pPr>
        <w:pStyle w:val="Title"/>
        <w:jc w:val="center"/>
      </w:pPr>
      <w:r>
        <w:t xml:space="preserve">Plumas County </w:t>
      </w:r>
    </w:p>
    <w:p w14:paraId="13648F2D" w14:textId="4F9A7A94" w:rsidR="00463DA1" w:rsidRDefault="00F70A70" w:rsidP="00463DA1">
      <w:pPr>
        <w:pStyle w:val="Title"/>
        <w:jc w:val="center"/>
      </w:pPr>
      <w:r>
        <w:t>CVSO Analysis Report</w:t>
      </w:r>
      <w:r w:rsidR="00463DA1">
        <w:t xml:space="preserve"> </w:t>
      </w:r>
    </w:p>
    <w:p w14:paraId="061CA9DC" w14:textId="4F0524E0" w:rsidR="00463DA1" w:rsidRPr="00463DA1" w:rsidRDefault="00463DA1" w:rsidP="00463DA1">
      <w:pPr>
        <w:pStyle w:val="Title"/>
        <w:jc w:val="center"/>
      </w:pPr>
      <w:r>
        <w:t>FY2020-2024</w:t>
      </w:r>
    </w:p>
    <w:p w14:paraId="4E4DE577" w14:textId="22884AE2" w:rsidR="002D4F30" w:rsidRDefault="002D4F30" w:rsidP="002D4F30">
      <w:pPr>
        <w:jc w:val="center"/>
      </w:pPr>
      <w:r>
        <w:t>By Loriel Arcangel, MPH</w:t>
      </w:r>
    </w:p>
    <w:p w14:paraId="57711857" w14:textId="573A681D" w:rsidR="002D4F30" w:rsidRPr="002D4F30" w:rsidRDefault="002D4F30" w:rsidP="002D4F30">
      <w:pPr>
        <w:jc w:val="center"/>
      </w:pPr>
      <w:r>
        <w:t>Created on 4/8/2026</w:t>
      </w:r>
    </w:p>
    <w:p w14:paraId="70061BBC" w14:textId="558323BF" w:rsidR="00F70A70" w:rsidRDefault="00064CF4" w:rsidP="00064CF4">
      <w:pPr>
        <w:pStyle w:val="Heading1"/>
      </w:pPr>
      <w:r>
        <w:t>Background</w:t>
      </w:r>
    </w:p>
    <w:p w14:paraId="2D94C981" w14:textId="6831CB00" w:rsidR="0002709A" w:rsidRPr="0002709A" w:rsidRDefault="0002709A" w:rsidP="0002709A">
      <w:r>
        <w:t xml:space="preserve">The purpose of this report is to show </w:t>
      </w:r>
      <w:r w:rsidR="007742BD">
        <w:t xml:space="preserve">Plumas County </w:t>
      </w:r>
      <w:r>
        <w:t>Veteran services work in comparison to other counties</w:t>
      </w:r>
      <w:r w:rsidR="007742BD">
        <w:t xml:space="preserve"> and across time</w:t>
      </w:r>
      <w:r w:rsidR="0042447C">
        <w:t xml:space="preserve">. </w:t>
      </w:r>
      <w:r w:rsidR="00BE32A9">
        <w:t xml:space="preserve">This report looks at the </w:t>
      </w:r>
      <w:r w:rsidR="00A10471">
        <w:t xml:space="preserve">number of claims submitted by County Veterans Service Officer (CVSO) and the total </w:t>
      </w:r>
      <w:r w:rsidR="00823605">
        <w:t>amount of new awards obtained by CVSO for veterans from Fiscal Years 2020 to 202</w:t>
      </w:r>
      <w:r w:rsidR="00CC0FC9">
        <w:t>4</w:t>
      </w:r>
      <w:r w:rsidR="007742BD">
        <w:t xml:space="preserve"> for Plumas County and other similar counties</w:t>
      </w:r>
      <w:r w:rsidR="00823605">
        <w:t>.</w:t>
      </w:r>
      <w:r w:rsidR="00A10471">
        <w:t xml:space="preserve"> </w:t>
      </w:r>
      <w:r w:rsidR="00325CD5">
        <w:t>Veteran services of c</w:t>
      </w:r>
      <w:r w:rsidR="0042447C">
        <w:t xml:space="preserve">ounties with similar total population and veteran population </w:t>
      </w:r>
      <w:r w:rsidR="00325CD5">
        <w:t xml:space="preserve">to Plumas County </w:t>
      </w:r>
      <w:r w:rsidR="0042447C">
        <w:t>were chose</w:t>
      </w:r>
      <w:r w:rsidR="00325CD5">
        <w:t>n</w:t>
      </w:r>
      <w:r w:rsidR="0042447C">
        <w:t xml:space="preserve"> to compare </w:t>
      </w:r>
      <w:r w:rsidR="00325CD5">
        <w:t>with Plumas County’s Veteran services.</w:t>
      </w:r>
      <w:r w:rsidR="00EE5508">
        <w:t xml:space="preserve"> Counties with similar veteran </w:t>
      </w:r>
      <w:r w:rsidR="00ED7815">
        <w:t>populations</w:t>
      </w:r>
      <w:r w:rsidR="00EE5508">
        <w:t xml:space="preserve"> were also included even if their total population was different than Plumas County.</w:t>
      </w:r>
      <w:r w:rsidR="00325CD5">
        <w:t xml:space="preserve"> These counties are Inyo County, Mariposa County, Del Norte County, and Lassen County</w:t>
      </w:r>
      <w:r w:rsidR="00EE5508">
        <w:t xml:space="preserve">. </w:t>
      </w:r>
    </w:p>
    <w:p w14:paraId="2C1AC5DD" w14:textId="34329FCE" w:rsidR="00312739" w:rsidRDefault="00312739" w:rsidP="00312739">
      <w:pPr>
        <w:pStyle w:val="Heading2"/>
      </w:pPr>
      <w:r>
        <w:t>Population</w:t>
      </w:r>
    </w:p>
    <w:p w14:paraId="07C0BEED" w14:textId="024D8BE3" w:rsidR="00ED7815" w:rsidRDefault="002E47C3" w:rsidP="00ED7815">
      <w:r>
        <w:t>Graph 1. Total Population of Counties Similar to Plumas County from FY2020-FY202</w:t>
      </w:r>
      <w:r w:rsidR="00CC0FC9">
        <w:t>4</w:t>
      </w:r>
    </w:p>
    <w:p w14:paraId="67B4EE4D" w14:textId="5D0B8782" w:rsidR="002208FD" w:rsidRDefault="001D2B0D" w:rsidP="00ED7815">
      <w:r>
        <w:rPr>
          <w:noProof/>
        </w:rPr>
        <w:drawing>
          <wp:inline distT="0" distB="0" distL="0" distR="0" wp14:anchorId="432505E3" wp14:editId="2AA60278">
            <wp:extent cx="5486400" cy="2781300"/>
            <wp:effectExtent l="0" t="0" r="0" b="0"/>
            <wp:docPr id="1516330216" name="Chart 1">
              <a:extLst xmlns:a="http://schemas.openxmlformats.org/drawingml/2006/main">
                <a:ext uri="{FF2B5EF4-FFF2-40B4-BE49-F238E27FC236}">
                  <a16:creationId xmlns:a16="http://schemas.microsoft.com/office/drawing/2014/main" id="{A40A8AD4-E2AF-06FC-3F43-10FA314ACC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BA38A96" w14:textId="68B9347A" w:rsidR="008B39A1" w:rsidRPr="00463DA1" w:rsidRDefault="008E5366" w:rsidP="00ED7815">
      <w:pPr>
        <w:rPr>
          <w:vertAlign w:val="superscript"/>
        </w:rPr>
      </w:pPr>
      <w:r>
        <w:lastRenderedPageBreak/>
        <w:t>Data Source: State of California Department of Finance</w:t>
      </w:r>
      <w:r w:rsidR="006A0F10">
        <w:t>.</w:t>
      </w:r>
      <w:r w:rsidR="001402F6">
        <w:rPr>
          <w:vertAlign w:val="superscript"/>
        </w:rPr>
        <w:t>1</w:t>
      </w:r>
    </w:p>
    <w:p w14:paraId="3EB396CB" w14:textId="77777777" w:rsidR="008B39A1" w:rsidRDefault="008B39A1" w:rsidP="008B39A1">
      <w:r>
        <w:t>Table 1. Total Population of Counties Similar to Plumas County from FY2020-FY2024</w:t>
      </w:r>
    </w:p>
    <w:tbl>
      <w:tblPr>
        <w:tblStyle w:val="PlainTable1"/>
        <w:tblW w:w="7425" w:type="dxa"/>
        <w:tblLook w:val="04A0" w:firstRow="1" w:lastRow="0" w:firstColumn="1" w:lastColumn="0" w:noHBand="0" w:noVBand="1"/>
      </w:tblPr>
      <w:tblGrid>
        <w:gridCol w:w="1480"/>
        <w:gridCol w:w="1189"/>
        <w:gridCol w:w="1189"/>
        <w:gridCol w:w="1189"/>
        <w:gridCol w:w="1189"/>
        <w:gridCol w:w="1189"/>
      </w:tblGrid>
      <w:tr w:rsidR="008B39A1" w:rsidRPr="008B39A1" w14:paraId="4F436088" w14:textId="77777777" w:rsidTr="001402F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0B4A06B5" w14:textId="77777777" w:rsidR="008B39A1" w:rsidRPr="008B39A1" w:rsidRDefault="008B39A1" w:rsidP="008B39A1">
            <w:pPr>
              <w:rPr>
                <w:rFonts w:ascii="Times New Roman" w:eastAsia="Times New Roman" w:hAnsi="Times New Roman" w:cs="Times New Roman"/>
                <w:kern w:val="0"/>
                <w14:ligatures w14:val="none"/>
              </w:rPr>
            </w:pPr>
          </w:p>
        </w:tc>
        <w:tc>
          <w:tcPr>
            <w:tcW w:w="1189" w:type="dxa"/>
            <w:noWrap/>
            <w:hideMark/>
          </w:tcPr>
          <w:p w14:paraId="31F00E1E" w14:textId="77777777" w:rsidR="008B39A1" w:rsidRPr="008B39A1" w:rsidRDefault="008B39A1" w:rsidP="008B39A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Plumas</w:t>
            </w:r>
          </w:p>
        </w:tc>
        <w:tc>
          <w:tcPr>
            <w:tcW w:w="1189" w:type="dxa"/>
            <w:noWrap/>
            <w:hideMark/>
          </w:tcPr>
          <w:p w14:paraId="615A6FDC" w14:textId="77777777" w:rsidR="008B39A1" w:rsidRPr="008B39A1" w:rsidRDefault="008B39A1" w:rsidP="008B39A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Inyo</w:t>
            </w:r>
          </w:p>
        </w:tc>
        <w:tc>
          <w:tcPr>
            <w:tcW w:w="1189" w:type="dxa"/>
            <w:noWrap/>
            <w:hideMark/>
          </w:tcPr>
          <w:p w14:paraId="65823864" w14:textId="77777777" w:rsidR="008B39A1" w:rsidRPr="008B39A1" w:rsidRDefault="008B39A1" w:rsidP="008B39A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Mariposa</w:t>
            </w:r>
          </w:p>
        </w:tc>
        <w:tc>
          <w:tcPr>
            <w:tcW w:w="1189" w:type="dxa"/>
            <w:noWrap/>
            <w:hideMark/>
          </w:tcPr>
          <w:p w14:paraId="4FBA3CA1" w14:textId="77777777" w:rsidR="008B39A1" w:rsidRPr="008B39A1" w:rsidRDefault="008B39A1" w:rsidP="008B39A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Del Norte</w:t>
            </w:r>
          </w:p>
        </w:tc>
        <w:tc>
          <w:tcPr>
            <w:tcW w:w="1189" w:type="dxa"/>
            <w:noWrap/>
            <w:hideMark/>
          </w:tcPr>
          <w:p w14:paraId="36B4C055" w14:textId="77777777" w:rsidR="008B39A1" w:rsidRPr="008B39A1" w:rsidRDefault="008B39A1" w:rsidP="008B39A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Lassen</w:t>
            </w:r>
          </w:p>
        </w:tc>
      </w:tr>
      <w:tr w:rsidR="008B39A1" w:rsidRPr="008B39A1" w14:paraId="1DAF8BDD" w14:textId="77777777" w:rsidTr="001402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66DB3192"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Year</w:t>
            </w:r>
          </w:p>
        </w:tc>
        <w:tc>
          <w:tcPr>
            <w:tcW w:w="1189" w:type="dxa"/>
            <w:noWrap/>
            <w:hideMark/>
          </w:tcPr>
          <w:p w14:paraId="0209AB06" w14:textId="12A3EBDA" w:rsidR="008B39A1" w:rsidRPr="008B39A1" w:rsidRDefault="008B39A1" w:rsidP="008B39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Pop</w:t>
            </w:r>
            <w:r>
              <w:rPr>
                <w:rFonts w:ascii="Calibri" w:eastAsia="Times New Roman" w:hAnsi="Calibri" w:cs="Calibri"/>
                <w:color w:val="000000"/>
                <w:kern w:val="0"/>
                <w:sz w:val="22"/>
                <w:szCs w:val="22"/>
                <w14:ligatures w14:val="none"/>
              </w:rPr>
              <w:t>ulation</w:t>
            </w:r>
          </w:p>
        </w:tc>
        <w:tc>
          <w:tcPr>
            <w:tcW w:w="1189" w:type="dxa"/>
            <w:noWrap/>
            <w:hideMark/>
          </w:tcPr>
          <w:p w14:paraId="47F2B7C2" w14:textId="7883A27B" w:rsidR="008B39A1" w:rsidRPr="008B39A1" w:rsidRDefault="008B39A1" w:rsidP="008B39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Pop</w:t>
            </w:r>
            <w:r>
              <w:rPr>
                <w:rFonts w:ascii="Calibri" w:eastAsia="Times New Roman" w:hAnsi="Calibri" w:cs="Calibri"/>
                <w:color w:val="000000"/>
                <w:kern w:val="0"/>
                <w:sz w:val="22"/>
                <w:szCs w:val="22"/>
                <w14:ligatures w14:val="none"/>
              </w:rPr>
              <w:t>ulation</w:t>
            </w:r>
          </w:p>
        </w:tc>
        <w:tc>
          <w:tcPr>
            <w:tcW w:w="1189" w:type="dxa"/>
            <w:noWrap/>
            <w:hideMark/>
          </w:tcPr>
          <w:p w14:paraId="45805842" w14:textId="71119A72" w:rsidR="008B39A1" w:rsidRPr="008B39A1" w:rsidRDefault="008B39A1" w:rsidP="008B39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Pop</w:t>
            </w:r>
            <w:r>
              <w:rPr>
                <w:rFonts w:ascii="Calibri" w:eastAsia="Times New Roman" w:hAnsi="Calibri" w:cs="Calibri"/>
                <w:color w:val="000000"/>
                <w:kern w:val="0"/>
                <w:sz w:val="22"/>
                <w:szCs w:val="22"/>
                <w14:ligatures w14:val="none"/>
              </w:rPr>
              <w:t>ulation</w:t>
            </w:r>
          </w:p>
        </w:tc>
        <w:tc>
          <w:tcPr>
            <w:tcW w:w="1189" w:type="dxa"/>
            <w:noWrap/>
            <w:hideMark/>
          </w:tcPr>
          <w:p w14:paraId="67C6B118" w14:textId="6B0CC265" w:rsidR="008B39A1" w:rsidRPr="008B39A1" w:rsidRDefault="008B39A1" w:rsidP="008B39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Pop</w:t>
            </w:r>
            <w:r>
              <w:rPr>
                <w:rFonts w:ascii="Calibri" w:eastAsia="Times New Roman" w:hAnsi="Calibri" w:cs="Calibri"/>
                <w:color w:val="000000"/>
                <w:kern w:val="0"/>
                <w:sz w:val="22"/>
                <w:szCs w:val="22"/>
                <w14:ligatures w14:val="none"/>
              </w:rPr>
              <w:t>ulation</w:t>
            </w:r>
          </w:p>
        </w:tc>
        <w:tc>
          <w:tcPr>
            <w:tcW w:w="1189" w:type="dxa"/>
            <w:noWrap/>
            <w:hideMark/>
          </w:tcPr>
          <w:p w14:paraId="4C84CCBF" w14:textId="0D820468" w:rsidR="008B39A1" w:rsidRPr="008B39A1" w:rsidRDefault="008B39A1" w:rsidP="008B39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Pop</w:t>
            </w:r>
            <w:r>
              <w:rPr>
                <w:rFonts w:ascii="Calibri" w:eastAsia="Times New Roman" w:hAnsi="Calibri" w:cs="Calibri"/>
                <w:color w:val="000000"/>
                <w:kern w:val="0"/>
                <w:sz w:val="22"/>
                <w:szCs w:val="22"/>
                <w14:ligatures w14:val="none"/>
              </w:rPr>
              <w:t>ulation</w:t>
            </w:r>
          </w:p>
        </w:tc>
      </w:tr>
      <w:tr w:rsidR="008B39A1" w:rsidRPr="008B39A1" w14:paraId="38BFC1A6" w14:textId="77777777" w:rsidTr="001402F6">
        <w:trPr>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729553E8"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FY2020-2021</w:t>
            </w:r>
          </w:p>
        </w:tc>
        <w:tc>
          <w:tcPr>
            <w:tcW w:w="1189" w:type="dxa"/>
            <w:noWrap/>
            <w:hideMark/>
          </w:tcPr>
          <w:p w14:paraId="65C0D514"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19733</w:t>
            </w:r>
          </w:p>
        </w:tc>
        <w:tc>
          <w:tcPr>
            <w:tcW w:w="1189" w:type="dxa"/>
            <w:noWrap/>
            <w:hideMark/>
          </w:tcPr>
          <w:p w14:paraId="31BB4C63"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18922</w:t>
            </w:r>
          </w:p>
        </w:tc>
        <w:tc>
          <w:tcPr>
            <w:tcW w:w="1189" w:type="dxa"/>
            <w:noWrap/>
            <w:hideMark/>
          </w:tcPr>
          <w:p w14:paraId="796E4FEC"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17060</w:t>
            </w:r>
          </w:p>
        </w:tc>
        <w:tc>
          <w:tcPr>
            <w:tcW w:w="1189" w:type="dxa"/>
            <w:noWrap/>
            <w:hideMark/>
          </w:tcPr>
          <w:p w14:paraId="17FD0866"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27438</w:t>
            </w:r>
          </w:p>
        </w:tc>
        <w:tc>
          <w:tcPr>
            <w:tcW w:w="1189" w:type="dxa"/>
            <w:noWrap/>
            <w:hideMark/>
          </w:tcPr>
          <w:p w14:paraId="6137E7AD"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31475</w:t>
            </w:r>
          </w:p>
        </w:tc>
      </w:tr>
      <w:tr w:rsidR="008B39A1" w:rsidRPr="008B39A1" w14:paraId="2589F177" w14:textId="77777777" w:rsidTr="001402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2F74C310"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FY2021-2022</w:t>
            </w:r>
          </w:p>
        </w:tc>
        <w:tc>
          <w:tcPr>
            <w:tcW w:w="1189" w:type="dxa"/>
            <w:noWrap/>
            <w:hideMark/>
          </w:tcPr>
          <w:p w14:paraId="2D6C1AC6"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19450</w:t>
            </w:r>
          </w:p>
        </w:tc>
        <w:tc>
          <w:tcPr>
            <w:tcW w:w="1189" w:type="dxa"/>
            <w:noWrap/>
            <w:hideMark/>
          </w:tcPr>
          <w:p w14:paraId="274BEF3B"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18869</w:t>
            </w:r>
          </w:p>
        </w:tc>
        <w:tc>
          <w:tcPr>
            <w:tcW w:w="1189" w:type="dxa"/>
            <w:noWrap/>
            <w:hideMark/>
          </w:tcPr>
          <w:p w14:paraId="272560FC"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16982</w:t>
            </w:r>
          </w:p>
        </w:tc>
        <w:tc>
          <w:tcPr>
            <w:tcW w:w="1189" w:type="dxa"/>
            <w:noWrap/>
            <w:hideMark/>
          </w:tcPr>
          <w:p w14:paraId="60066003"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26863</w:t>
            </w:r>
          </w:p>
        </w:tc>
        <w:tc>
          <w:tcPr>
            <w:tcW w:w="1189" w:type="dxa"/>
            <w:noWrap/>
            <w:hideMark/>
          </w:tcPr>
          <w:p w14:paraId="6F9E4354"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30368</w:t>
            </w:r>
          </w:p>
        </w:tc>
      </w:tr>
      <w:tr w:rsidR="008B39A1" w:rsidRPr="008B39A1" w14:paraId="534DCF97" w14:textId="77777777" w:rsidTr="001402F6">
        <w:trPr>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38013720"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FY2022-2023</w:t>
            </w:r>
          </w:p>
        </w:tc>
        <w:tc>
          <w:tcPr>
            <w:tcW w:w="1189" w:type="dxa"/>
            <w:noWrap/>
            <w:hideMark/>
          </w:tcPr>
          <w:p w14:paraId="21AC98C0"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19144</w:t>
            </w:r>
          </w:p>
        </w:tc>
        <w:tc>
          <w:tcPr>
            <w:tcW w:w="1189" w:type="dxa"/>
            <w:noWrap/>
            <w:hideMark/>
          </w:tcPr>
          <w:p w14:paraId="756CB438"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18795</w:t>
            </w:r>
          </w:p>
        </w:tc>
        <w:tc>
          <w:tcPr>
            <w:tcW w:w="1189" w:type="dxa"/>
            <w:noWrap/>
            <w:hideMark/>
          </w:tcPr>
          <w:p w14:paraId="664ACA91"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16900</w:t>
            </w:r>
          </w:p>
        </w:tc>
        <w:tc>
          <w:tcPr>
            <w:tcW w:w="1189" w:type="dxa"/>
            <w:noWrap/>
            <w:hideMark/>
          </w:tcPr>
          <w:p w14:paraId="5E4A1130"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26369</w:t>
            </w:r>
          </w:p>
        </w:tc>
        <w:tc>
          <w:tcPr>
            <w:tcW w:w="1189" w:type="dxa"/>
            <w:noWrap/>
            <w:hideMark/>
          </w:tcPr>
          <w:p w14:paraId="5A824995"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28866</w:t>
            </w:r>
          </w:p>
        </w:tc>
      </w:tr>
      <w:tr w:rsidR="008B39A1" w:rsidRPr="008B39A1" w14:paraId="658F43BE" w14:textId="77777777" w:rsidTr="001402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6B21B45C"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FY2023-2024</w:t>
            </w:r>
          </w:p>
        </w:tc>
        <w:tc>
          <w:tcPr>
            <w:tcW w:w="1189" w:type="dxa"/>
            <w:noWrap/>
            <w:hideMark/>
          </w:tcPr>
          <w:p w14:paraId="07112BD4"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18907</w:t>
            </w:r>
          </w:p>
        </w:tc>
        <w:tc>
          <w:tcPr>
            <w:tcW w:w="1189" w:type="dxa"/>
            <w:noWrap/>
            <w:hideMark/>
          </w:tcPr>
          <w:p w14:paraId="38CB27FA"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18690</w:t>
            </w:r>
          </w:p>
        </w:tc>
        <w:tc>
          <w:tcPr>
            <w:tcW w:w="1189" w:type="dxa"/>
            <w:noWrap/>
            <w:hideMark/>
          </w:tcPr>
          <w:p w14:paraId="64C971FE"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16827</w:t>
            </w:r>
          </w:p>
        </w:tc>
        <w:tc>
          <w:tcPr>
            <w:tcW w:w="1189" w:type="dxa"/>
            <w:noWrap/>
            <w:hideMark/>
          </w:tcPr>
          <w:p w14:paraId="1F2704C0"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26552</w:t>
            </w:r>
          </w:p>
        </w:tc>
        <w:tc>
          <w:tcPr>
            <w:tcW w:w="1189" w:type="dxa"/>
            <w:noWrap/>
            <w:hideMark/>
          </w:tcPr>
          <w:p w14:paraId="36EE0DAC" w14:textId="77777777" w:rsidR="008B39A1" w:rsidRPr="008B39A1" w:rsidRDefault="008B39A1" w:rsidP="008B39A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28050</w:t>
            </w:r>
          </w:p>
        </w:tc>
      </w:tr>
      <w:tr w:rsidR="008B39A1" w:rsidRPr="008B39A1" w14:paraId="6E20946F" w14:textId="77777777" w:rsidTr="001402F6">
        <w:trPr>
          <w:trHeight w:val="300"/>
        </w:trPr>
        <w:tc>
          <w:tcPr>
            <w:cnfStyle w:val="001000000000" w:firstRow="0" w:lastRow="0" w:firstColumn="1" w:lastColumn="0" w:oddVBand="0" w:evenVBand="0" w:oddHBand="0" w:evenHBand="0" w:firstRowFirstColumn="0" w:firstRowLastColumn="0" w:lastRowFirstColumn="0" w:lastRowLastColumn="0"/>
            <w:tcW w:w="1480" w:type="dxa"/>
            <w:noWrap/>
            <w:hideMark/>
          </w:tcPr>
          <w:p w14:paraId="4426BC12" w14:textId="77777777" w:rsidR="008B39A1" w:rsidRPr="008B39A1" w:rsidRDefault="008B39A1" w:rsidP="008B39A1">
            <w:pPr>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FY2024-2025</w:t>
            </w:r>
          </w:p>
        </w:tc>
        <w:tc>
          <w:tcPr>
            <w:tcW w:w="1189" w:type="dxa"/>
            <w:noWrap/>
            <w:hideMark/>
          </w:tcPr>
          <w:p w14:paraId="1D09D589"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18796</w:t>
            </w:r>
          </w:p>
        </w:tc>
        <w:tc>
          <w:tcPr>
            <w:tcW w:w="1189" w:type="dxa"/>
            <w:noWrap/>
            <w:hideMark/>
          </w:tcPr>
          <w:p w14:paraId="1D5197D4"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18594</w:t>
            </w:r>
          </w:p>
        </w:tc>
        <w:tc>
          <w:tcPr>
            <w:tcW w:w="1189" w:type="dxa"/>
            <w:noWrap/>
            <w:hideMark/>
          </w:tcPr>
          <w:p w14:paraId="5E3A5630"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16758</w:t>
            </w:r>
          </w:p>
        </w:tc>
        <w:tc>
          <w:tcPr>
            <w:tcW w:w="1189" w:type="dxa"/>
            <w:noWrap/>
            <w:hideMark/>
          </w:tcPr>
          <w:p w14:paraId="7F0955C9"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26626</w:t>
            </w:r>
          </w:p>
        </w:tc>
        <w:tc>
          <w:tcPr>
            <w:tcW w:w="1189" w:type="dxa"/>
            <w:noWrap/>
            <w:hideMark/>
          </w:tcPr>
          <w:p w14:paraId="242D04DF" w14:textId="77777777" w:rsidR="008B39A1" w:rsidRPr="008B39A1" w:rsidRDefault="008B39A1" w:rsidP="008B39A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8B39A1">
              <w:rPr>
                <w:rFonts w:ascii="Calibri" w:eastAsia="Times New Roman" w:hAnsi="Calibri" w:cs="Calibri"/>
                <w:color w:val="000000"/>
                <w:kern w:val="0"/>
                <w:sz w:val="22"/>
                <w:szCs w:val="22"/>
                <w14:ligatures w14:val="none"/>
              </w:rPr>
              <w:t>27698</w:t>
            </w:r>
          </w:p>
        </w:tc>
      </w:tr>
    </w:tbl>
    <w:p w14:paraId="5BA4ED11" w14:textId="0EED6E0B" w:rsidR="008B39A1" w:rsidRPr="001402F6" w:rsidRDefault="001402F6" w:rsidP="00ED7815">
      <w:pPr>
        <w:rPr>
          <w:vertAlign w:val="superscript"/>
        </w:rPr>
      </w:pPr>
      <w:r>
        <w:t>Data Source: State of California Department of Finance.</w:t>
      </w:r>
      <w:r>
        <w:rPr>
          <w:vertAlign w:val="superscript"/>
        </w:rPr>
        <w:t>1</w:t>
      </w:r>
    </w:p>
    <w:p w14:paraId="0C74B517" w14:textId="42C11763" w:rsidR="00646046" w:rsidRDefault="008B39A1" w:rsidP="00ED7815">
      <w:r>
        <w:t>Graph 2. Total Population of Counties Similar to Plumas County FY2024-2025</w:t>
      </w:r>
    </w:p>
    <w:p w14:paraId="2DA3A5DC" w14:textId="59FFEA5E" w:rsidR="007F0EAE" w:rsidRDefault="007F0EAE" w:rsidP="00ED7815">
      <w:r>
        <w:rPr>
          <w:noProof/>
        </w:rPr>
        <w:drawing>
          <wp:inline distT="0" distB="0" distL="0" distR="0" wp14:anchorId="49CEF330" wp14:editId="0F7E89BE">
            <wp:extent cx="5486400" cy="2743200"/>
            <wp:effectExtent l="0" t="0" r="0" b="0"/>
            <wp:docPr id="982353518" name="Chart 1">
              <a:extLst xmlns:a="http://schemas.openxmlformats.org/drawingml/2006/main">
                <a:ext uri="{FF2B5EF4-FFF2-40B4-BE49-F238E27FC236}">
                  <a16:creationId xmlns:a16="http://schemas.microsoft.com/office/drawing/2014/main" id="{C6068399-F17B-B45E-7965-9551E870A3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94FE173" w14:textId="77777777" w:rsidR="001402F6" w:rsidRPr="001402F6" w:rsidRDefault="001402F6" w:rsidP="001402F6">
      <w:pPr>
        <w:rPr>
          <w:vertAlign w:val="superscript"/>
        </w:rPr>
      </w:pPr>
      <w:r>
        <w:t>Data Source: State of California Department of Finance.</w:t>
      </w:r>
      <w:r>
        <w:rPr>
          <w:vertAlign w:val="superscript"/>
        </w:rPr>
        <w:t>1</w:t>
      </w:r>
    </w:p>
    <w:p w14:paraId="34C52F85" w14:textId="275A7F81" w:rsidR="00991199" w:rsidRDefault="00991199" w:rsidP="00991199">
      <w:r>
        <w:t xml:space="preserve">The total populations of California counties were determined through the population projections created by the State of California Department of Finance. Based on the population projections, Plumas County has a population of around 19,000 people throughout </w:t>
      </w:r>
      <w:r w:rsidR="00A545EF">
        <w:t xml:space="preserve">fiscal years </w:t>
      </w:r>
      <w:r>
        <w:t xml:space="preserve">2020 to FY2024. Inyo County and Mariposa County had the closest total population to Plumas County than other California counties from </w:t>
      </w:r>
      <w:r w:rsidR="00A545EF">
        <w:t xml:space="preserve">fiscal years </w:t>
      </w:r>
      <w:r>
        <w:t>2020 to 202</w:t>
      </w:r>
      <w:r w:rsidR="00A545EF">
        <w:t>4</w:t>
      </w:r>
      <w:r>
        <w:t xml:space="preserve">. Del Norte and Lassen counties had total populations greater than Plumas County; however, since Del Norte and Lassen counties have similar veteran population to Plumas County, these two counties were also used for comparison with Plumas County data on Veteran Services.  </w:t>
      </w:r>
    </w:p>
    <w:p w14:paraId="4CC2EBF5" w14:textId="77777777" w:rsidR="00647A00" w:rsidRPr="00ED7815" w:rsidRDefault="00647A00" w:rsidP="00ED7815"/>
    <w:p w14:paraId="07E7160B" w14:textId="75BE99AF" w:rsidR="0085503F" w:rsidRDefault="00312739" w:rsidP="00312739">
      <w:pPr>
        <w:pStyle w:val="Heading2"/>
      </w:pPr>
      <w:r>
        <w:lastRenderedPageBreak/>
        <w:t>Veteran Population</w:t>
      </w:r>
    </w:p>
    <w:p w14:paraId="39E92DE9" w14:textId="5E784E86" w:rsidR="008B39A1" w:rsidRDefault="00647A00" w:rsidP="008B39A1">
      <w:r>
        <w:t>Graph 3. Veteran Population of Counties Similar to Plumas County from FY2020-2024</w:t>
      </w:r>
    </w:p>
    <w:p w14:paraId="0CD4CD32" w14:textId="44295F6B" w:rsidR="00647A00" w:rsidRDefault="00647A00" w:rsidP="008B39A1">
      <w:r>
        <w:rPr>
          <w:noProof/>
        </w:rPr>
        <w:drawing>
          <wp:inline distT="0" distB="0" distL="0" distR="0" wp14:anchorId="023E603F" wp14:editId="5FF2826B">
            <wp:extent cx="5486400" cy="2926080"/>
            <wp:effectExtent l="0" t="0" r="0" b="7620"/>
            <wp:docPr id="954261520" name="Chart 1">
              <a:extLst xmlns:a="http://schemas.openxmlformats.org/drawingml/2006/main">
                <a:ext uri="{FF2B5EF4-FFF2-40B4-BE49-F238E27FC236}">
                  <a16:creationId xmlns:a16="http://schemas.microsoft.com/office/drawing/2014/main" id="{22140CB6-3264-73D1-93CF-98EADCA330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7138A92" w14:textId="6785706F" w:rsidR="001F1CE9" w:rsidRDefault="0000680F" w:rsidP="008B39A1">
      <w:r>
        <w:t>Data Source</w:t>
      </w:r>
      <w:r w:rsidR="001F1CE9">
        <w:t>s</w:t>
      </w:r>
      <w:r>
        <w:t xml:space="preserve">: </w:t>
      </w:r>
      <w:r w:rsidR="00D81168">
        <w:t>California Association of County Veterans Service Officers</w:t>
      </w:r>
      <w:r w:rsidR="002D4255">
        <w:t>.</w:t>
      </w:r>
      <w:r w:rsidR="001402F6">
        <w:rPr>
          <w:vertAlign w:val="superscript"/>
        </w:rPr>
        <w:t>2=6</w:t>
      </w:r>
      <w:r w:rsidR="002D4255">
        <w:t xml:space="preserve"> </w:t>
      </w:r>
    </w:p>
    <w:p w14:paraId="6E4598DB" w14:textId="0CCB7B25" w:rsidR="00E140A1" w:rsidRDefault="00E140A1" w:rsidP="008B39A1">
      <w:r>
        <w:t xml:space="preserve">Table 2. Veteran Population </w:t>
      </w:r>
      <w:r w:rsidR="003D2222">
        <w:t>of Counties Similar to Plumas County from FY2020-2024</w:t>
      </w:r>
    </w:p>
    <w:tbl>
      <w:tblPr>
        <w:tblStyle w:val="PlainTable1"/>
        <w:tblW w:w="7185" w:type="dxa"/>
        <w:tblLook w:val="04A0" w:firstRow="1" w:lastRow="0" w:firstColumn="1" w:lastColumn="0" w:noHBand="0" w:noVBand="1"/>
      </w:tblPr>
      <w:tblGrid>
        <w:gridCol w:w="1240"/>
        <w:gridCol w:w="1189"/>
        <w:gridCol w:w="1189"/>
        <w:gridCol w:w="1189"/>
        <w:gridCol w:w="1189"/>
        <w:gridCol w:w="1189"/>
      </w:tblGrid>
      <w:tr w:rsidR="003E7DD9" w:rsidRPr="003E7DD9" w14:paraId="44E91E12" w14:textId="77777777" w:rsidTr="00B84D5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6D7D3072" w14:textId="77777777" w:rsidR="003E7DD9" w:rsidRPr="003E7DD9" w:rsidRDefault="003E7DD9" w:rsidP="003E7DD9">
            <w:pPr>
              <w:rPr>
                <w:rFonts w:ascii="Times New Roman" w:eastAsia="Times New Roman" w:hAnsi="Times New Roman" w:cs="Times New Roman"/>
                <w:kern w:val="0"/>
                <w14:ligatures w14:val="none"/>
              </w:rPr>
            </w:pPr>
          </w:p>
        </w:tc>
        <w:tc>
          <w:tcPr>
            <w:tcW w:w="1189" w:type="dxa"/>
            <w:noWrap/>
            <w:hideMark/>
          </w:tcPr>
          <w:p w14:paraId="76B87A39" w14:textId="77777777" w:rsidR="003E7DD9" w:rsidRPr="003E7DD9" w:rsidRDefault="003E7DD9" w:rsidP="003E7DD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Plumas</w:t>
            </w:r>
          </w:p>
        </w:tc>
        <w:tc>
          <w:tcPr>
            <w:tcW w:w="1189" w:type="dxa"/>
            <w:noWrap/>
            <w:hideMark/>
          </w:tcPr>
          <w:p w14:paraId="1E35E3CE" w14:textId="77777777" w:rsidR="003E7DD9" w:rsidRPr="003E7DD9" w:rsidRDefault="003E7DD9" w:rsidP="003E7DD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Inyo</w:t>
            </w:r>
          </w:p>
        </w:tc>
        <w:tc>
          <w:tcPr>
            <w:tcW w:w="1189" w:type="dxa"/>
            <w:noWrap/>
            <w:hideMark/>
          </w:tcPr>
          <w:p w14:paraId="14711C7F" w14:textId="77777777" w:rsidR="003E7DD9" w:rsidRPr="003E7DD9" w:rsidRDefault="003E7DD9" w:rsidP="003E7DD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Mariposa</w:t>
            </w:r>
          </w:p>
        </w:tc>
        <w:tc>
          <w:tcPr>
            <w:tcW w:w="1189" w:type="dxa"/>
            <w:noWrap/>
            <w:hideMark/>
          </w:tcPr>
          <w:p w14:paraId="525EF2A0" w14:textId="77777777" w:rsidR="003E7DD9" w:rsidRPr="003E7DD9" w:rsidRDefault="003E7DD9" w:rsidP="003E7DD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Del Norte</w:t>
            </w:r>
          </w:p>
        </w:tc>
        <w:tc>
          <w:tcPr>
            <w:tcW w:w="1189" w:type="dxa"/>
            <w:noWrap/>
            <w:hideMark/>
          </w:tcPr>
          <w:p w14:paraId="1F8ED0B3" w14:textId="77777777" w:rsidR="003E7DD9" w:rsidRPr="003E7DD9" w:rsidRDefault="003E7DD9" w:rsidP="003E7DD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Lassen</w:t>
            </w:r>
          </w:p>
        </w:tc>
      </w:tr>
      <w:tr w:rsidR="003E7DD9" w:rsidRPr="003E7DD9" w14:paraId="75B2EE2A" w14:textId="77777777" w:rsidTr="00B84D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3E337779"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Year</w:t>
            </w:r>
          </w:p>
        </w:tc>
        <w:tc>
          <w:tcPr>
            <w:tcW w:w="1189" w:type="dxa"/>
            <w:noWrap/>
            <w:hideMark/>
          </w:tcPr>
          <w:p w14:paraId="577B3C1D" w14:textId="674A54C0" w:rsidR="003E7DD9" w:rsidRPr="003E7DD9" w:rsidRDefault="003E7DD9" w:rsidP="003E7DD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Vet</w:t>
            </w:r>
            <w:r>
              <w:rPr>
                <w:rFonts w:ascii="Calibri" w:eastAsia="Times New Roman" w:hAnsi="Calibri" w:cs="Calibri"/>
                <w:color w:val="000000"/>
                <w:kern w:val="0"/>
                <w:sz w:val="22"/>
                <w:szCs w:val="22"/>
                <w14:ligatures w14:val="none"/>
              </w:rPr>
              <w:t>eran</w:t>
            </w:r>
            <w:r w:rsidRPr="003E7DD9">
              <w:rPr>
                <w:rFonts w:ascii="Calibri" w:eastAsia="Times New Roman" w:hAnsi="Calibri" w:cs="Calibri"/>
                <w:color w:val="000000"/>
                <w:kern w:val="0"/>
                <w:sz w:val="22"/>
                <w:szCs w:val="22"/>
                <w14:ligatures w14:val="none"/>
              </w:rPr>
              <w:t xml:space="preserve"> Pop</w:t>
            </w:r>
            <w:r>
              <w:rPr>
                <w:rFonts w:ascii="Calibri" w:eastAsia="Times New Roman" w:hAnsi="Calibri" w:cs="Calibri"/>
                <w:color w:val="000000"/>
                <w:kern w:val="0"/>
                <w:sz w:val="22"/>
                <w:szCs w:val="22"/>
                <w14:ligatures w14:val="none"/>
              </w:rPr>
              <w:t>ulation</w:t>
            </w:r>
          </w:p>
        </w:tc>
        <w:tc>
          <w:tcPr>
            <w:tcW w:w="1189" w:type="dxa"/>
            <w:noWrap/>
            <w:hideMark/>
          </w:tcPr>
          <w:p w14:paraId="2DBE189A" w14:textId="4BC84A24" w:rsidR="003E7DD9" w:rsidRPr="003E7DD9" w:rsidRDefault="003E7DD9" w:rsidP="003E7DD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Vet</w:t>
            </w:r>
            <w:r>
              <w:rPr>
                <w:rFonts w:ascii="Calibri" w:eastAsia="Times New Roman" w:hAnsi="Calibri" w:cs="Calibri"/>
                <w:color w:val="000000"/>
                <w:kern w:val="0"/>
                <w:sz w:val="22"/>
                <w:szCs w:val="22"/>
                <w14:ligatures w14:val="none"/>
              </w:rPr>
              <w:t>eran</w:t>
            </w:r>
            <w:r w:rsidRPr="003E7DD9">
              <w:rPr>
                <w:rFonts w:ascii="Calibri" w:eastAsia="Times New Roman" w:hAnsi="Calibri" w:cs="Calibri"/>
                <w:color w:val="000000"/>
                <w:kern w:val="0"/>
                <w:sz w:val="22"/>
                <w:szCs w:val="22"/>
                <w14:ligatures w14:val="none"/>
              </w:rPr>
              <w:t xml:space="preserve"> Pop</w:t>
            </w:r>
            <w:r>
              <w:rPr>
                <w:rFonts w:ascii="Calibri" w:eastAsia="Times New Roman" w:hAnsi="Calibri" w:cs="Calibri"/>
                <w:color w:val="000000"/>
                <w:kern w:val="0"/>
                <w:sz w:val="22"/>
                <w:szCs w:val="22"/>
                <w14:ligatures w14:val="none"/>
              </w:rPr>
              <w:t>ulation</w:t>
            </w:r>
          </w:p>
        </w:tc>
        <w:tc>
          <w:tcPr>
            <w:tcW w:w="1189" w:type="dxa"/>
            <w:noWrap/>
            <w:hideMark/>
          </w:tcPr>
          <w:p w14:paraId="70C28D48" w14:textId="187B7F12" w:rsidR="003E7DD9" w:rsidRPr="003E7DD9" w:rsidRDefault="003E7DD9" w:rsidP="003E7DD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Vet</w:t>
            </w:r>
            <w:r>
              <w:rPr>
                <w:rFonts w:ascii="Calibri" w:eastAsia="Times New Roman" w:hAnsi="Calibri" w:cs="Calibri"/>
                <w:color w:val="000000"/>
                <w:kern w:val="0"/>
                <w:sz w:val="22"/>
                <w:szCs w:val="22"/>
                <w14:ligatures w14:val="none"/>
              </w:rPr>
              <w:t>eran</w:t>
            </w:r>
            <w:r w:rsidRPr="003E7DD9">
              <w:rPr>
                <w:rFonts w:ascii="Calibri" w:eastAsia="Times New Roman" w:hAnsi="Calibri" w:cs="Calibri"/>
                <w:color w:val="000000"/>
                <w:kern w:val="0"/>
                <w:sz w:val="22"/>
                <w:szCs w:val="22"/>
                <w14:ligatures w14:val="none"/>
              </w:rPr>
              <w:t xml:space="preserve"> Pop</w:t>
            </w:r>
            <w:r>
              <w:rPr>
                <w:rFonts w:ascii="Calibri" w:eastAsia="Times New Roman" w:hAnsi="Calibri" w:cs="Calibri"/>
                <w:color w:val="000000"/>
                <w:kern w:val="0"/>
                <w:sz w:val="22"/>
                <w:szCs w:val="22"/>
                <w14:ligatures w14:val="none"/>
              </w:rPr>
              <w:t>ulation</w:t>
            </w:r>
          </w:p>
        </w:tc>
        <w:tc>
          <w:tcPr>
            <w:tcW w:w="1189" w:type="dxa"/>
            <w:noWrap/>
            <w:hideMark/>
          </w:tcPr>
          <w:p w14:paraId="72B2EBFA" w14:textId="3F0CA9F6" w:rsidR="003E7DD9" w:rsidRPr="003E7DD9" w:rsidRDefault="003E7DD9" w:rsidP="003E7DD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Vet</w:t>
            </w:r>
            <w:r>
              <w:rPr>
                <w:rFonts w:ascii="Calibri" w:eastAsia="Times New Roman" w:hAnsi="Calibri" w:cs="Calibri"/>
                <w:color w:val="000000"/>
                <w:kern w:val="0"/>
                <w:sz w:val="22"/>
                <w:szCs w:val="22"/>
                <w14:ligatures w14:val="none"/>
              </w:rPr>
              <w:t>eran</w:t>
            </w:r>
            <w:r w:rsidRPr="003E7DD9">
              <w:rPr>
                <w:rFonts w:ascii="Calibri" w:eastAsia="Times New Roman" w:hAnsi="Calibri" w:cs="Calibri"/>
                <w:color w:val="000000"/>
                <w:kern w:val="0"/>
                <w:sz w:val="22"/>
                <w:szCs w:val="22"/>
                <w14:ligatures w14:val="none"/>
              </w:rPr>
              <w:t xml:space="preserve"> Pop</w:t>
            </w:r>
            <w:r>
              <w:rPr>
                <w:rFonts w:ascii="Calibri" w:eastAsia="Times New Roman" w:hAnsi="Calibri" w:cs="Calibri"/>
                <w:color w:val="000000"/>
                <w:kern w:val="0"/>
                <w:sz w:val="22"/>
                <w:szCs w:val="22"/>
                <w14:ligatures w14:val="none"/>
              </w:rPr>
              <w:t>ulation</w:t>
            </w:r>
          </w:p>
        </w:tc>
        <w:tc>
          <w:tcPr>
            <w:tcW w:w="1189" w:type="dxa"/>
            <w:noWrap/>
            <w:hideMark/>
          </w:tcPr>
          <w:p w14:paraId="5513DA84" w14:textId="4B51E399" w:rsidR="003E7DD9" w:rsidRPr="003E7DD9" w:rsidRDefault="003E7DD9" w:rsidP="003E7DD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Vet</w:t>
            </w:r>
            <w:r>
              <w:rPr>
                <w:rFonts w:ascii="Calibri" w:eastAsia="Times New Roman" w:hAnsi="Calibri" w:cs="Calibri"/>
                <w:color w:val="000000"/>
                <w:kern w:val="0"/>
                <w:sz w:val="22"/>
                <w:szCs w:val="22"/>
                <w14:ligatures w14:val="none"/>
              </w:rPr>
              <w:t>eran</w:t>
            </w:r>
            <w:r w:rsidRPr="003E7DD9">
              <w:rPr>
                <w:rFonts w:ascii="Calibri" w:eastAsia="Times New Roman" w:hAnsi="Calibri" w:cs="Calibri"/>
                <w:color w:val="000000"/>
                <w:kern w:val="0"/>
                <w:sz w:val="22"/>
                <w:szCs w:val="22"/>
                <w14:ligatures w14:val="none"/>
              </w:rPr>
              <w:t xml:space="preserve"> Pop</w:t>
            </w:r>
            <w:r>
              <w:rPr>
                <w:rFonts w:ascii="Calibri" w:eastAsia="Times New Roman" w:hAnsi="Calibri" w:cs="Calibri"/>
                <w:color w:val="000000"/>
                <w:kern w:val="0"/>
                <w:sz w:val="22"/>
                <w:szCs w:val="22"/>
                <w14:ligatures w14:val="none"/>
              </w:rPr>
              <w:t>ulation</w:t>
            </w:r>
          </w:p>
        </w:tc>
      </w:tr>
      <w:tr w:rsidR="003E7DD9" w:rsidRPr="003E7DD9" w14:paraId="42FF27F4" w14:textId="77777777" w:rsidTr="00B84D52">
        <w:trPr>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6C67B6E5"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FY2020-2021</w:t>
            </w:r>
          </w:p>
        </w:tc>
        <w:tc>
          <w:tcPr>
            <w:tcW w:w="1189" w:type="dxa"/>
            <w:noWrap/>
            <w:hideMark/>
          </w:tcPr>
          <w:p w14:paraId="61E04FEC"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1772</w:t>
            </w:r>
          </w:p>
        </w:tc>
        <w:tc>
          <w:tcPr>
            <w:tcW w:w="1189" w:type="dxa"/>
            <w:noWrap/>
            <w:hideMark/>
          </w:tcPr>
          <w:p w14:paraId="7566FDC1"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2061</w:t>
            </w:r>
          </w:p>
        </w:tc>
        <w:tc>
          <w:tcPr>
            <w:tcW w:w="1189" w:type="dxa"/>
            <w:noWrap/>
            <w:hideMark/>
          </w:tcPr>
          <w:p w14:paraId="0B21B9F8"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1583</w:t>
            </w:r>
          </w:p>
        </w:tc>
        <w:tc>
          <w:tcPr>
            <w:tcW w:w="1189" w:type="dxa"/>
            <w:noWrap/>
            <w:hideMark/>
          </w:tcPr>
          <w:p w14:paraId="27E82574"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2026</w:t>
            </w:r>
          </w:p>
        </w:tc>
        <w:tc>
          <w:tcPr>
            <w:tcW w:w="1189" w:type="dxa"/>
            <w:noWrap/>
            <w:hideMark/>
          </w:tcPr>
          <w:p w14:paraId="0FF19C20"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2010</w:t>
            </w:r>
          </w:p>
        </w:tc>
      </w:tr>
      <w:tr w:rsidR="003E7DD9" w:rsidRPr="003E7DD9" w14:paraId="7D995DC4" w14:textId="77777777" w:rsidTr="00B84D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51AC9B8C"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FY2021-2022</w:t>
            </w:r>
          </w:p>
        </w:tc>
        <w:tc>
          <w:tcPr>
            <w:tcW w:w="1189" w:type="dxa"/>
            <w:noWrap/>
            <w:hideMark/>
          </w:tcPr>
          <w:p w14:paraId="65D836E1"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1695</w:t>
            </w:r>
          </w:p>
        </w:tc>
        <w:tc>
          <w:tcPr>
            <w:tcW w:w="1189" w:type="dxa"/>
            <w:noWrap/>
            <w:hideMark/>
          </w:tcPr>
          <w:p w14:paraId="32BE3A98"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1956</w:t>
            </w:r>
          </w:p>
        </w:tc>
        <w:tc>
          <w:tcPr>
            <w:tcW w:w="1189" w:type="dxa"/>
            <w:noWrap/>
            <w:hideMark/>
          </w:tcPr>
          <w:p w14:paraId="46DA9F6D"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1516</w:t>
            </w:r>
          </w:p>
        </w:tc>
        <w:tc>
          <w:tcPr>
            <w:tcW w:w="1189" w:type="dxa"/>
            <w:noWrap/>
            <w:hideMark/>
          </w:tcPr>
          <w:p w14:paraId="4C22FA01"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1970</w:t>
            </w:r>
          </w:p>
        </w:tc>
        <w:tc>
          <w:tcPr>
            <w:tcW w:w="1189" w:type="dxa"/>
            <w:noWrap/>
            <w:hideMark/>
          </w:tcPr>
          <w:p w14:paraId="74DDD74B"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2015</w:t>
            </w:r>
          </w:p>
        </w:tc>
      </w:tr>
      <w:tr w:rsidR="003E7DD9" w:rsidRPr="003E7DD9" w14:paraId="3825CC2B" w14:textId="77777777" w:rsidTr="00B84D52">
        <w:trPr>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7FAF1C6A"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FY2022-2023</w:t>
            </w:r>
          </w:p>
        </w:tc>
        <w:tc>
          <w:tcPr>
            <w:tcW w:w="1189" w:type="dxa"/>
            <w:noWrap/>
            <w:hideMark/>
          </w:tcPr>
          <w:p w14:paraId="7BE20438"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1610</w:t>
            </w:r>
          </w:p>
        </w:tc>
        <w:tc>
          <w:tcPr>
            <w:tcW w:w="1189" w:type="dxa"/>
            <w:noWrap/>
            <w:hideMark/>
          </w:tcPr>
          <w:p w14:paraId="28C8BFF9"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1387</w:t>
            </w:r>
          </w:p>
        </w:tc>
        <w:tc>
          <w:tcPr>
            <w:tcW w:w="1189" w:type="dxa"/>
            <w:noWrap/>
            <w:hideMark/>
          </w:tcPr>
          <w:p w14:paraId="38796F07"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1458</w:t>
            </w:r>
          </w:p>
        </w:tc>
        <w:tc>
          <w:tcPr>
            <w:tcW w:w="1189" w:type="dxa"/>
            <w:noWrap/>
            <w:hideMark/>
          </w:tcPr>
          <w:p w14:paraId="25A52288"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1894</w:t>
            </w:r>
          </w:p>
        </w:tc>
        <w:tc>
          <w:tcPr>
            <w:tcW w:w="1189" w:type="dxa"/>
            <w:noWrap/>
            <w:hideMark/>
          </w:tcPr>
          <w:p w14:paraId="4B2A7DB8"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1919</w:t>
            </w:r>
          </w:p>
        </w:tc>
      </w:tr>
      <w:tr w:rsidR="003E7DD9" w:rsidRPr="003E7DD9" w14:paraId="47013CBB" w14:textId="77777777" w:rsidTr="00B84D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1D165CAC"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FY2023-2024</w:t>
            </w:r>
          </w:p>
        </w:tc>
        <w:tc>
          <w:tcPr>
            <w:tcW w:w="1189" w:type="dxa"/>
            <w:noWrap/>
            <w:hideMark/>
          </w:tcPr>
          <w:p w14:paraId="7DEDFE29"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1365</w:t>
            </w:r>
          </w:p>
        </w:tc>
        <w:tc>
          <w:tcPr>
            <w:tcW w:w="1189" w:type="dxa"/>
            <w:noWrap/>
            <w:hideMark/>
          </w:tcPr>
          <w:p w14:paraId="2E3C5645"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1520</w:t>
            </w:r>
          </w:p>
        </w:tc>
        <w:tc>
          <w:tcPr>
            <w:tcW w:w="1189" w:type="dxa"/>
            <w:noWrap/>
            <w:hideMark/>
          </w:tcPr>
          <w:p w14:paraId="5BC653C8"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1507</w:t>
            </w:r>
          </w:p>
        </w:tc>
        <w:tc>
          <w:tcPr>
            <w:tcW w:w="1189" w:type="dxa"/>
            <w:noWrap/>
            <w:hideMark/>
          </w:tcPr>
          <w:p w14:paraId="6288FAC4"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1756</w:t>
            </w:r>
          </w:p>
        </w:tc>
        <w:tc>
          <w:tcPr>
            <w:tcW w:w="1189" w:type="dxa"/>
            <w:noWrap/>
            <w:hideMark/>
          </w:tcPr>
          <w:p w14:paraId="3C092C9C" w14:textId="77777777" w:rsidR="003E7DD9" w:rsidRPr="003E7DD9" w:rsidRDefault="003E7DD9" w:rsidP="003E7DD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1980</w:t>
            </w:r>
          </w:p>
        </w:tc>
      </w:tr>
      <w:tr w:rsidR="003E7DD9" w:rsidRPr="003E7DD9" w14:paraId="22BD73F9" w14:textId="77777777" w:rsidTr="00B84D52">
        <w:trPr>
          <w:trHeight w:val="300"/>
        </w:trPr>
        <w:tc>
          <w:tcPr>
            <w:cnfStyle w:val="001000000000" w:firstRow="0" w:lastRow="0" w:firstColumn="1" w:lastColumn="0" w:oddVBand="0" w:evenVBand="0" w:oddHBand="0" w:evenHBand="0" w:firstRowFirstColumn="0" w:firstRowLastColumn="0" w:lastRowFirstColumn="0" w:lastRowLastColumn="0"/>
            <w:tcW w:w="1240" w:type="dxa"/>
            <w:noWrap/>
            <w:hideMark/>
          </w:tcPr>
          <w:p w14:paraId="1583A688" w14:textId="77777777" w:rsidR="003E7DD9" w:rsidRPr="003E7DD9" w:rsidRDefault="003E7DD9" w:rsidP="003E7DD9">
            <w:pPr>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FY2024-2025</w:t>
            </w:r>
          </w:p>
        </w:tc>
        <w:tc>
          <w:tcPr>
            <w:tcW w:w="1189" w:type="dxa"/>
            <w:noWrap/>
            <w:hideMark/>
          </w:tcPr>
          <w:p w14:paraId="769865A7"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1291</w:t>
            </w:r>
          </w:p>
        </w:tc>
        <w:tc>
          <w:tcPr>
            <w:tcW w:w="1189" w:type="dxa"/>
            <w:noWrap/>
            <w:hideMark/>
          </w:tcPr>
          <w:p w14:paraId="4F80A4FD"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1451</w:t>
            </w:r>
          </w:p>
        </w:tc>
        <w:tc>
          <w:tcPr>
            <w:tcW w:w="1189" w:type="dxa"/>
            <w:noWrap/>
            <w:hideMark/>
          </w:tcPr>
          <w:p w14:paraId="1546585A"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1463</w:t>
            </w:r>
          </w:p>
        </w:tc>
        <w:tc>
          <w:tcPr>
            <w:tcW w:w="1189" w:type="dxa"/>
            <w:noWrap/>
            <w:hideMark/>
          </w:tcPr>
          <w:p w14:paraId="46B83163"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1669</w:t>
            </w:r>
          </w:p>
        </w:tc>
        <w:tc>
          <w:tcPr>
            <w:tcW w:w="1189" w:type="dxa"/>
            <w:noWrap/>
            <w:hideMark/>
          </w:tcPr>
          <w:p w14:paraId="234B81C0" w14:textId="77777777" w:rsidR="003E7DD9" w:rsidRPr="003E7DD9" w:rsidRDefault="003E7DD9" w:rsidP="003E7DD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14:ligatures w14:val="none"/>
              </w:rPr>
            </w:pPr>
            <w:r w:rsidRPr="003E7DD9">
              <w:rPr>
                <w:rFonts w:ascii="Calibri" w:eastAsia="Times New Roman" w:hAnsi="Calibri" w:cs="Calibri"/>
                <w:color w:val="000000"/>
                <w:kern w:val="0"/>
                <w:sz w:val="22"/>
                <w:szCs w:val="22"/>
                <w14:ligatures w14:val="none"/>
              </w:rPr>
              <w:t>1910</w:t>
            </w:r>
          </w:p>
        </w:tc>
      </w:tr>
    </w:tbl>
    <w:p w14:paraId="326F245E" w14:textId="77777777" w:rsidR="00B84D52" w:rsidRDefault="00B84D52" w:rsidP="00B84D52">
      <w:r>
        <w:t>Data Sources: California Association of County Veterans Service Officers.</w:t>
      </w:r>
      <w:r>
        <w:rPr>
          <w:vertAlign w:val="superscript"/>
        </w:rPr>
        <w:t>2=6</w:t>
      </w:r>
      <w:r>
        <w:t xml:space="preserve"> </w:t>
      </w:r>
    </w:p>
    <w:p w14:paraId="57B45007" w14:textId="77777777" w:rsidR="003E7DD9" w:rsidRDefault="003E7DD9" w:rsidP="008B39A1"/>
    <w:p w14:paraId="5BD41EFE" w14:textId="77777777" w:rsidR="004477F3" w:rsidRDefault="004477F3" w:rsidP="008B39A1"/>
    <w:p w14:paraId="24DD6D97" w14:textId="77777777" w:rsidR="004477F3" w:rsidRDefault="004477F3" w:rsidP="008B39A1"/>
    <w:p w14:paraId="055FEA0E" w14:textId="77777777" w:rsidR="004477F3" w:rsidRDefault="004477F3" w:rsidP="008B39A1"/>
    <w:p w14:paraId="45130C66" w14:textId="5257979B" w:rsidR="00C3466D" w:rsidRDefault="00C3466D" w:rsidP="008B39A1">
      <w:r>
        <w:lastRenderedPageBreak/>
        <w:t>Graph 4. Veteran Population of Counties Similar to Plumas County FY 2024-2025</w:t>
      </w:r>
    </w:p>
    <w:p w14:paraId="23CA093D" w14:textId="36481AE7" w:rsidR="00C3466D" w:rsidRDefault="00252409" w:rsidP="008B39A1">
      <w:r>
        <w:rPr>
          <w:noProof/>
        </w:rPr>
        <w:drawing>
          <wp:inline distT="0" distB="0" distL="0" distR="0" wp14:anchorId="073CDEE5" wp14:editId="164EE693">
            <wp:extent cx="5486400" cy="2743200"/>
            <wp:effectExtent l="0" t="0" r="0" b="0"/>
            <wp:docPr id="2073884578" name="Chart 1">
              <a:extLst xmlns:a="http://schemas.openxmlformats.org/drawingml/2006/main">
                <a:ext uri="{FF2B5EF4-FFF2-40B4-BE49-F238E27FC236}">
                  <a16:creationId xmlns:a16="http://schemas.microsoft.com/office/drawing/2014/main" id="{9C7B776D-9E0F-9276-02A3-FD666D21B8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4A06BC" w14:textId="0D3F2AC2" w:rsidR="00B84D52" w:rsidRDefault="00B84D52" w:rsidP="008B39A1">
      <w:r>
        <w:t>Data Sources: California Association of County Veterans Service Officers.</w:t>
      </w:r>
      <w:r>
        <w:rPr>
          <w:vertAlign w:val="superscript"/>
        </w:rPr>
        <w:t>2=6</w:t>
      </w:r>
      <w:r>
        <w:t xml:space="preserve"> </w:t>
      </w:r>
    </w:p>
    <w:p w14:paraId="394E264A" w14:textId="3AC3A255" w:rsidR="00523247" w:rsidRDefault="00523247" w:rsidP="008B39A1">
      <w:r>
        <w:t>According to the California Association of County Veterans Service Officers, Plumas County’s Veteran population has been decreasing from fiscal year 2020 to 2024, but the biggest drop in Plumas County Veteran population occurred from fiscal year 2022 to 2023. Inyo, Mariposa, Del Norte, and Lassen counties were the top four counties that had the closes veteran population to Plumas County from fiscal year 2020 to 2024.</w:t>
      </w:r>
    </w:p>
    <w:p w14:paraId="308D0D46" w14:textId="77777777" w:rsidR="00523247" w:rsidRDefault="00523247" w:rsidP="008B39A1"/>
    <w:p w14:paraId="5DB17A4A" w14:textId="77777777" w:rsidR="00523247" w:rsidRDefault="00523247" w:rsidP="008B39A1"/>
    <w:p w14:paraId="1F7DB284" w14:textId="77777777" w:rsidR="00523247" w:rsidRDefault="00523247" w:rsidP="008B39A1"/>
    <w:p w14:paraId="207F8E02" w14:textId="77777777" w:rsidR="00523247" w:rsidRDefault="00523247" w:rsidP="008B39A1"/>
    <w:p w14:paraId="0239B2FE" w14:textId="77777777" w:rsidR="00523247" w:rsidRDefault="00523247" w:rsidP="008B39A1"/>
    <w:p w14:paraId="2BEFA8AB" w14:textId="77777777" w:rsidR="00523247" w:rsidRDefault="00523247" w:rsidP="008B39A1"/>
    <w:p w14:paraId="6F6984AE" w14:textId="77777777" w:rsidR="00523247" w:rsidRDefault="00523247" w:rsidP="008B39A1"/>
    <w:p w14:paraId="21A6BCAC" w14:textId="77777777" w:rsidR="00523247" w:rsidRPr="008B39A1" w:rsidRDefault="00523247" w:rsidP="008B39A1"/>
    <w:p w14:paraId="457539F6" w14:textId="79085C1B" w:rsidR="00064CF4" w:rsidRDefault="00064CF4" w:rsidP="00064CF4">
      <w:pPr>
        <w:pStyle w:val="Heading1"/>
      </w:pPr>
      <w:r>
        <w:lastRenderedPageBreak/>
        <w:t>Results</w:t>
      </w:r>
    </w:p>
    <w:p w14:paraId="6F10C058" w14:textId="1DC34DA7" w:rsidR="00312739" w:rsidRDefault="004642EE" w:rsidP="004642EE">
      <w:pPr>
        <w:pStyle w:val="Heading2"/>
      </w:pPr>
      <w:r>
        <w:t>Claims</w:t>
      </w:r>
    </w:p>
    <w:p w14:paraId="425C3F25" w14:textId="026A33D5" w:rsidR="004477F3" w:rsidRDefault="00B35FE9" w:rsidP="004477F3">
      <w:r>
        <w:t xml:space="preserve">Graph 5. </w:t>
      </w:r>
      <w:r w:rsidR="006B7B9A">
        <w:t>Number of Claims Submitted in Plumas County by Fiscal Year</w:t>
      </w:r>
    </w:p>
    <w:p w14:paraId="71E62AFE" w14:textId="1ED6A78B" w:rsidR="006B7B9A" w:rsidRDefault="00AF0A91" w:rsidP="004477F3">
      <w:r>
        <w:rPr>
          <w:noProof/>
        </w:rPr>
        <w:drawing>
          <wp:inline distT="0" distB="0" distL="0" distR="0" wp14:anchorId="2BE6342C" wp14:editId="09AF0A72">
            <wp:extent cx="5943600" cy="2743200"/>
            <wp:effectExtent l="0" t="0" r="0" b="0"/>
            <wp:docPr id="1670099238" name="Chart 1">
              <a:extLst xmlns:a="http://schemas.openxmlformats.org/drawingml/2006/main">
                <a:ext uri="{FF2B5EF4-FFF2-40B4-BE49-F238E27FC236}">
                  <a16:creationId xmlns:a16="http://schemas.microsoft.com/office/drawing/2014/main" id="{F33AAEAC-8DAE-1CFA-417F-A5ACBE35AA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D99ACB" w14:textId="6157A0CF" w:rsidR="00760710" w:rsidRDefault="00B84D52" w:rsidP="004477F3">
      <w:r>
        <w:t>Data Sources: California Association of County Veterans Service Officers.</w:t>
      </w:r>
      <w:r>
        <w:rPr>
          <w:vertAlign w:val="superscript"/>
        </w:rPr>
        <w:t>2=6</w:t>
      </w:r>
      <w:r>
        <w:t xml:space="preserve"> </w:t>
      </w:r>
    </w:p>
    <w:p w14:paraId="20B4DC6E" w14:textId="1D85C4BF" w:rsidR="006B7B9A" w:rsidRDefault="006B7B9A" w:rsidP="004477F3">
      <w:r>
        <w:t xml:space="preserve">Graph 6. </w:t>
      </w:r>
      <w:r w:rsidR="00F300EA">
        <w:t>Number of Claims Submitted by Fiscal Year between Plumas County and Other Similar Counties</w:t>
      </w:r>
    </w:p>
    <w:p w14:paraId="38211888" w14:textId="7FE5FDBB" w:rsidR="0053198F" w:rsidRDefault="00760710" w:rsidP="0053198F">
      <w:r>
        <w:rPr>
          <w:noProof/>
        </w:rPr>
        <w:drawing>
          <wp:inline distT="0" distB="0" distL="0" distR="0" wp14:anchorId="5C9F6474" wp14:editId="2F1E9CBE">
            <wp:extent cx="5943600" cy="3017520"/>
            <wp:effectExtent l="0" t="0" r="0" b="11430"/>
            <wp:docPr id="1216661570" name="Chart 1">
              <a:extLst xmlns:a="http://schemas.openxmlformats.org/drawingml/2006/main">
                <a:ext uri="{FF2B5EF4-FFF2-40B4-BE49-F238E27FC236}">
                  <a16:creationId xmlns:a16="http://schemas.microsoft.com/office/drawing/2014/main" id="{D8F966A7-3B4A-70FF-F887-0E23F31984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DFF48D" w14:textId="77777777" w:rsidR="00CE2F36" w:rsidRDefault="00B84D52" w:rsidP="0053198F">
      <w:r>
        <w:t>Data Sources: California Association of County Veterans Service Officers.</w:t>
      </w:r>
      <w:r>
        <w:rPr>
          <w:vertAlign w:val="superscript"/>
        </w:rPr>
        <w:t>2=6</w:t>
      </w:r>
      <w:r>
        <w:t xml:space="preserve"> </w:t>
      </w:r>
    </w:p>
    <w:p w14:paraId="6ED21391" w14:textId="11454A45" w:rsidR="00CE2F36" w:rsidRDefault="00976DD7" w:rsidP="0053198F">
      <w:r>
        <w:lastRenderedPageBreak/>
        <w:t>Plumas County veteran</w:t>
      </w:r>
      <w:r w:rsidR="00EC3FCA">
        <w:t>s</w:t>
      </w:r>
      <w:r>
        <w:t xml:space="preserve"> service</w:t>
      </w:r>
      <w:r w:rsidR="008A1381">
        <w:t xml:space="preserve"> submit</w:t>
      </w:r>
      <w:r w:rsidR="00EC3FCA">
        <w:t>s</w:t>
      </w:r>
      <w:r w:rsidR="008A1381">
        <w:t xml:space="preserve"> claims </w:t>
      </w:r>
      <w:r w:rsidR="00B625EB">
        <w:t xml:space="preserve">to the regional veteran service offices </w:t>
      </w:r>
      <w:r w:rsidR="00D31004">
        <w:t xml:space="preserve">on behalf of veterans </w:t>
      </w:r>
      <w:r w:rsidR="008A1381">
        <w:t>throughout the year to provide</w:t>
      </w:r>
      <w:r w:rsidR="00D31004">
        <w:t xml:space="preserve"> Plumas County</w:t>
      </w:r>
      <w:r w:rsidR="008A1381">
        <w:t xml:space="preserve"> veterans with benefits that they deserve from their years of service </w:t>
      </w:r>
      <w:r w:rsidR="005F2722">
        <w:t>to</w:t>
      </w:r>
      <w:r w:rsidR="008A1381">
        <w:t xml:space="preserve"> the United States</w:t>
      </w:r>
      <w:r w:rsidR="00D31004">
        <w:t xml:space="preserve">. </w:t>
      </w:r>
      <w:r w:rsidR="00EC3FCA">
        <w:t>The claims submitted by Plumas County veterans service</w:t>
      </w:r>
      <w:r w:rsidR="008A1381">
        <w:t xml:space="preserve"> </w:t>
      </w:r>
      <w:r w:rsidR="0018681D">
        <w:t>decreased from fiscal year 2020 to 2021 by 32%</w:t>
      </w:r>
      <w:r w:rsidR="00B731F6">
        <w:t xml:space="preserve">; however, in fiscal year 2022, the claims submitted by </w:t>
      </w:r>
      <w:r w:rsidR="0096154C">
        <w:t xml:space="preserve">Plumas County veterans service more than </w:t>
      </w:r>
      <w:r w:rsidR="005F3B75" w:rsidRPr="00321B06">
        <w:t>tripled</w:t>
      </w:r>
      <w:r w:rsidR="0096154C">
        <w:t xml:space="preserve"> the claims submitted in fiscal year 2021. After fiscal year 2022, the number of claims submitted by Plumas County veterans service </w:t>
      </w:r>
      <w:r w:rsidR="000F7FBA">
        <w:t xml:space="preserve">remained roughly the same in fiscal year 2023 and 2024. </w:t>
      </w:r>
      <w:r w:rsidR="007F2384">
        <w:t xml:space="preserve">When compared to similar counties, Plumas County </w:t>
      </w:r>
      <w:r w:rsidR="00F34C10">
        <w:t xml:space="preserve">submitted more claims than Inyo, Mariposa, Del Norte, and Lassen in fiscal years 2022 to 2024. </w:t>
      </w:r>
    </w:p>
    <w:p w14:paraId="523F91B0" w14:textId="55304703" w:rsidR="00AF0A91" w:rsidRDefault="00260712" w:rsidP="00AF0A91">
      <w:pPr>
        <w:pStyle w:val="Heading2"/>
      </w:pPr>
      <w:r>
        <w:t>Total New Awards Obtained by CVSO</w:t>
      </w:r>
    </w:p>
    <w:p w14:paraId="4CB2D42A" w14:textId="15EB9C22" w:rsidR="0053198F" w:rsidRPr="0053198F" w:rsidRDefault="004A7784" w:rsidP="0053198F">
      <w:r>
        <w:t>Graph 7.  Total New Awards Obtained by CVSO in Plumas County by Fiscal Year</w:t>
      </w:r>
    </w:p>
    <w:p w14:paraId="3398A847" w14:textId="36486440" w:rsidR="00260712" w:rsidRDefault="0053198F" w:rsidP="00260712">
      <w:r>
        <w:rPr>
          <w:noProof/>
        </w:rPr>
        <w:drawing>
          <wp:inline distT="0" distB="0" distL="0" distR="0" wp14:anchorId="123AC671" wp14:editId="0C71BD60">
            <wp:extent cx="5943600" cy="2743200"/>
            <wp:effectExtent l="0" t="0" r="0" b="0"/>
            <wp:docPr id="744182173" name="Chart 1">
              <a:extLst xmlns:a="http://schemas.openxmlformats.org/drawingml/2006/main">
                <a:ext uri="{FF2B5EF4-FFF2-40B4-BE49-F238E27FC236}">
                  <a16:creationId xmlns:a16="http://schemas.microsoft.com/office/drawing/2014/main" id="{A178CBC0-DFA9-F9CB-5386-4102B55B2A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88085F" w14:textId="2ED40349" w:rsidR="00EE54E8" w:rsidRDefault="00B84D52" w:rsidP="00260712">
      <w:r>
        <w:t>Data Sources: California Association of County Veterans Service Officers.</w:t>
      </w:r>
      <w:r>
        <w:rPr>
          <w:vertAlign w:val="superscript"/>
        </w:rPr>
        <w:t>2=6</w:t>
      </w:r>
      <w:r>
        <w:t xml:space="preserve"> </w:t>
      </w:r>
    </w:p>
    <w:p w14:paraId="16F5FCF2" w14:textId="77777777" w:rsidR="00CE2F36" w:rsidRDefault="00CE2F36" w:rsidP="00260712"/>
    <w:p w14:paraId="6587F2F7" w14:textId="77777777" w:rsidR="00CE2F36" w:rsidRDefault="00CE2F36" w:rsidP="00260712"/>
    <w:p w14:paraId="09DED666" w14:textId="77777777" w:rsidR="00CE2F36" w:rsidRDefault="00CE2F36" w:rsidP="00260712"/>
    <w:p w14:paraId="0B906F19" w14:textId="77777777" w:rsidR="00CE2F36" w:rsidRDefault="00CE2F36" w:rsidP="00260712"/>
    <w:p w14:paraId="66CF62BA" w14:textId="77777777" w:rsidR="00CE2F36" w:rsidRDefault="00CE2F36" w:rsidP="00260712"/>
    <w:p w14:paraId="76B3F301" w14:textId="77777777" w:rsidR="00CE2F36" w:rsidRDefault="00CE2F36" w:rsidP="00260712"/>
    <w:p w14:paraId="3A474791" w14:textId="77777777" w:rsidR="00CE2F36" w:rsidRDefault="00CE2F36" w:rsidP="00260712"/>
    <w:p w14:paraId="3C4764B8" w14:textId="707E59C8" w:rsidR="00EE54E8" w:rsidRDefault="00EE54E8" w:rsidP="00260712">
      <w:r>
        <w:lastRenderedPageBreak/>
        <w:t>Graph 8. Total New Awards Obtained due to CVSO by Fiscal Year Between Plumas County and Other Similar Counties</w:t>
      </w:r>
    </w:p>
    <w:p w14:paraId="1719CFFF" w14:textId="16A752D8" w:rsidR="004642EE" w:rsidRDefault="00EE54E8" w:rsidP="004642EE">
      <w:r>
        <w:rPr>
          <w:noProof/>
        </w:rPr>
        <w:drawing>
          <wp:inline distT="0" distB="0" distL="0" distR="0" wp14:anchorId="575DC4E7" wp14:editId="7F97A5B7">
            <wp:extent cx="5943600" cy="2743200"/>
            <wp:effectExtent l="0" t="0" r="0" b="0"/>
            <wp:docPr id="1919831809" name="Chart 1">
              <a:extLst xmlns:a="http://schemas.openxmlformats.org/drawingml/2006/main">
                <a:ext uri="{FF2B5EF4-FFF2-40B4-BE49-F238E27FC236}">
                  <a16:creationId xmlns:a16="http://schemas.microsoft.com/office/drawing/2014/main" id="{80748B21-F513-8367-7411-1EA5DF8FFD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0583BA9" w14:textId="77777777" w:rsidR="00CE2F36" w:rsidRDefault="00B84D52">
      <w:r>
        <w:t>Data Sources: California Association of County Veterans Service Officers.</w:t>
      </w:r>
      <w:r>
        <w:rPr>
          <w:vertAlign w:val="superscript"/>
        </w:rPr>
        <w:t>2=6</w:t>
      </w:r>
      <w:r>
        <w:t xml:space="preserve"> </w:t>
      </w:r>
    </w:p>
    <w:p w14:paraId="68E81C0A" w14:textId="3C22F78C" w:rsidR="00763764" w:rsidRDefault="002F10BB">
      <w:r>
        <w:t xml:space="preserve">The total new awards obtained by counties for veterans are </w:t>
      </w:r>
      <w:r w:rsidR="00AA2DD4">
        <w:t xml:space="preserve">the new monetary </w:t>
      </w:r>
      <w:r>
        <w:t>awards given to county veterans</w:t>
      </w:r>
      <w:r w:rsidR="00AA2DD4">
        <w:t xml:space="preserve"> for that year</w:t>
      </w:r>
      <w:r>
        <w:t xml:space="preserve"> due to the number and type of claims that counties submit on behalf of their veterans to the regional veteran service office</w:t>
      </w:r>
      <w:r w:rsidR="00644CAD">
        <w:t xml:space="preserve">. Plumas County </w:t>
      </w:r>
      <w:proofErr w:type="gramStart"/>
      <w:r w:rsidR="00644CAD">
        <w:t>veterans</w:t>
      </w:r>
      <w:proofErr w:type="gramEnd"/>
      <w:r w:rsidR="00644CAD">
        <w:t xml:space="preserve"> </w:t>
      </w:r>
      <w:proofErr w:type="gramStart"/>
      <w:r w:rsidR="00644CAD">
        <w:t>service</w:t>
      </w:r>
      <w:r w:rsidR="00C03632">
        <w:t>’s</w:t>
      </w:r>
      <w:proofErr w:type="gramEnd"/>
      <w:r w:rsidR="00644CAD">
        <w:t xml:space="preserve"> total new awards amount decreased by 28% from fiscal year 2020 to 2021 but increased</w:t>
      </w:r>
      <w:r w:rsidR="00C03632">
        <w:t xml:space="preserve"> by roughly </w:t>
      </w:r>
      <w:r w:rsidR="00613C0A">
        <w:t>58</w:t>
      </w:r>
      <w:r w:rsidR="00C03632">
        <w:t xml:space="preserve">% from fiscal year 2021 to 2022. The total new awards amount then </w:t>
      </w:r>
      <w:r w:rsidR="004403F2">
        <w:t>decreased slightly by 6% from fiscal year 2022 to 2023 but increased sharply by roughly 7</w:t>
      </w:r>
      <w:r w:rsidR="00613C0A">
        <w:t xml:space="preserve">3% from fiscal year 2023 to 2024. In comparison to similar counties, </w:t>
      </w:r>
      <w:r w:rsidR="004F014B">
        <w:t xml:space="preserve">the total new awards that Plumas County earned for its veterans due to the efforts of </w:t>
      </w:r>
      <w:r w:rsidR="00162F9B">
        <w:t>the county veterans service officer was higher than Inyo, Mariposa, Del Norte, and Lassen</w:t>
      </w:r>
      <w:r w:rsidR="00CC3189">
        <w:t xml:space="preserve"> for fiscal years 2020, 2022, 2023, and 2024. The </w:t>
      </w:r>
      <w:r w:rsidR="00052010">
        <w:t>total new awards that Plumas County earned in fiscal year 2021 for its veterans was around the same as Lassen County’s total new awards</w:t>
      </w:r>
      <w:r w:rsidR="002D4F30">
        <w:t xml:space="preserve"> for that fiscal year but higher than Inyo, Mariposa, and Del Norte.</w:t>
      </w:r>
      <w:r w:rsidR="00162F9B">
        <w:t xml:space="preserve"> </w:t>
      </w:r>
      <w:r w:rsidR="00763764">
        <w:br w:type="page"/>
      </w:r>
    </w:p>
    <w:p w14:paraId="3451ECA2" w14:textId="0F474A3D" w:rsidR="00763764" w:rsidRDefault="00763764" w:rsidP="00763764">
      <w:pPr>
        <w:pStyle w:val="Title"/>
        <w:jc w:val="center"/>
      </w:pPr>
      <w:r>
        <w:lastRenderedPageBreak/>
        <w:t>References</w:t>
      </w:r>
    </w:p>
    <w:p w14:paraId="7619B8D8" w14:textId="0AE6F629" w:rsidR="008D7F23" w:rsidRDefault="008D7F23" w:rsidP="008D7F23">
      <w:pPr>
        <w:pStyle w:val="ListParagraph"/>
        <w:numPr>
          <w:ilvl w:val="0"/>
          <w:numId w:val="2"/>
        </w:numPr>
      </w:pPr>
      <w:r>
        <w:t xml:space="preserve">State of California Department of Finance. (2026). </w:t>
      </w:r>
      <w:r w:rsidRPr="008D7F23">
        <w:rPr>
          <w:i/>
          <w:iCs/>
        </w:rPr>
        <w:t>Projections</w:t>
      </w:r>
      <w:r>
        <w:t xml:space="preserve">. State of California Department of Finance. </w:t>
      </w:r>
      <w:hyperlink r:id="rId13" w:history="1">
        <w:r w:rsidRPr="000B53BD">
          <w:rPr>
            <w:rStyle w:val="Hyperlink"/>
          </w:rPr>
          <w:t>https://dof.ca.gov/Forecasting/Demographics/projections/</w:t>
        </w:r>
      </w:hyperlink>
    </w:p>
    <w:p w14:paraId="21A96B2B" w14:textId="075C68FE" w:rsidR="008D7F23" w:rsidRDefault="008D7F23" w:rsidP="008D7F23">
      <w:pPr>
        <w:pStyle w:val="ListParagraph"/>
        <w:numPr>
          <w:ilvl w:val="0"/>
          <w:numId w:val="2"/>
        </w:numPr>
      </w:pPr>
      <w:r>
        <w:t xml:space="preserve">California Association of County Veterans Service Officers. (2025). </w:t>
      </w:r>
      <w:r w:rsidR="00073D4D">
        <w:t xml:space="preserve">Service, Strength and Advocacy: </w:t>
      </w:r>
      <w:r>
        <w:t>Annual Report 2025. (n.d.). California Department of Veterans Affairs.</w:t>
      </w:r>
    </w:p>
    <w:p w14:paraId="7B810884" w14:textId="3EA726D9" w:rsidR="008D7F23" w:rsidRDefault="008D7F23" w:rsidP="008D7F23">
      <w:pPr>
        <w:pStyle w:val="ListParagraph"/>
        <w:numPr>
          <w:ilvl w:val="0"/>
          <w:numId w:val="2"/>
        </w:numPr>
      </w:pPr>
      <w:r>
        <w:t xml:space="preserve">California Association of County Veterans Service Officers. (2024). Annual Report </w:t>
      </w:r>
      <w:r w:rsidR="00552F28">
        <w:t xml:space="preserve">/ Directory </w:t>
      </w:r>
      <w:r>
        <w:t>2024. (n.d.). California Department of Veterans Affairs.</w:t>
      </w:r>
    </w:p>
    <w:p w14:paraId="20309D20" w14:textId="77777777" w:rsidR="008D7F23" w:rsidRDefault="008D7F23" w:rsidP="008D7F23">
      <w:pPr>
        <w:pStyle w:val="ListParagraph"/>
        <w:numPr>
          <w:ilvl w:val="0"/>
          <w:numId w:val="2"/>
        </w:numPr>
      </w:pPr>
      <w:r>
        <w:t>California Association of County Veterans Service Officers. (2023). Annual Report 2023. (n.d.). California Department of Veterans Affairs.</w:t>
      </w:r>
    </w:p>
    <w:p w14:paraId="0408A121" w14:textId="1A2B78F5" w:rsidR="008D7F23" w:rsidRDefault="008D7F23" w:rsidP="008D7F23">
      <w:pPr>
        <w:pStyle w:val="ListParagraph"/>
        <w:numPr>
          <w:ilvl w:val="0"/>
          <w:numId w:val="2"/>
        </w:numPr>
      </w:pPr>
      <w:r>
        <w:t xml:space="preserve">California Association of County Veterans Service Officers. (2022). </w:t>
      </w:r>
      <w:r w:rsidR="00A82699">
        <w:t xml:space="preserve">No Vet Left Behind: </w:t>
      </w:r>
      <w:r>
        <w:t>Annual Report 2022. (n.d.). California Department of Veterans Affairs.</w:t>
      </w:r>
    </w:p>
    <w:p w14:paraId="5A1A33EC" w14:textId="43766859" w:rsidR="008D7F23" w:rsidRDefault="008D7F23" w:rsidP="008D7F23">
      <w:pPr>
        <w:pStyle w:val="ListParagraph"/>
        <w:numPr>
          <w:ilvl w:val="0"/>
          <w:numId w:val="2"/>
        </w:numPr>
      </w:pPr>
      <w:r>
        <w:t>California Association of County Veterans Service Officers. (2021).</w:t>
      </w:r>
      <w:r w:rsidR="00A82699">
        <w:t xml:space="preserve"> Bravo Zulu</w:t>
      </w:r>
      <w:r w:rsidR="004966DC">
        <w:t xml:space="preserve"> Well Done, CVSOs:</w:t>
      </w:r>
      <w:r>
        <w:t xml:space="preserve"> Annual Report 2021. (n.d.). California Department of Veterans Affairs.</w:t>
      </w:r>
    </w:p>
    <w:p w14:paraId="05D03CF2" w14:textId="1268CB28" w:rsidR="00763764" w:rsidRPr="00763764" w:rsidRDefault="00763764" w:rsidP="008D7F23"/>
    <w:sectPr w:rsidR="00763764" w:rsidRPr="00763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A32C2"/>
    <w:multiLevelType w:val="hybridMultilevel"/>
    <w:tmpl w:val="1F267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8937CD"/>
    <w:multiLevelType w:val="hybridMultilevel"/>
    <w:tmpl w:val="F2F4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08149">
    <w:abstractNumId w:val="0"/>
  </w:num>
  <w:num w:numId="2" w16cid:durableId="1088775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4F"/>
    <w:rsid w:val="000019D6"/>
    <w:rsid w:val="0000680F"/>
    <w:rsid w:val="0002709A"/>
    <w:rsid w:val="00027251"/>
    <w:rsid w:val="00027A52"/>
    <w:rsid w:val="00033757"/>
    <w:rsid w:val="00052010"/>
    <w:rsid w:val="00060983"/>
    <w:rsid w:val="0006283E"/>
    <w:rsid w:val="00064CF4"/>
    <w:rsid w:val="00073D4D"/>
    <w:rsid w:val="000966E8"/>
    <w:rsid w:val="000E6D04"/>
    <w:rsid w:val="000F7FBA"/>
    <w:rsid w:val="001402F6"/>
    <w:rsid w:val="00162F9B"/>
    <w:rsid w:val="0018043F"/>
    <w:rsid w:val="0018681D"/>
    <w:rsid w:val="001D2B0D"/>
    <w:rsid w:val="001F1CE9"/>
    <w:rsid w:val="001F61AB"/>
    <w:rsid w:val="002208FD"/>
    <w:rsid w:val="0022486E"/>
    <w:rsid w:val="00252409"/>
    <w:rsid w:val="00260712"/>
    <w:rsid w:val="002B3821"/>
    <w:rsid w:val="002C6506"/>
    <w:rsid w:val="002D4255"/>
    <w:rsid w:val="002D4F30"/>
    <w:rsid w:val="002E47C3"/>
    <w:rsid w:val="002F10BB"/>
    <w:rsid w:val="00312739"/>
    <w:rsid w:val="00321B06"/>
    <w:rsid w:val="00325CD5"/>
    <w:rsid w:val="00332134"/>
    <w:rsid w:val="00357925"/>
    <w:rsid w:val="003747B5"/>
    <w:rsid w:val="003D2222"/>
    <w:rsid w:val="003E7DD9"/>
    <w:rsid w:val="0042447C"/>
    <w:rsid w:val="00433894"/>
    <w:rsid w:val="004403F2"/>
    <w:rsid w:val="004477F3"/>
    <w:rsid w:val="00463DA1"/>
    <w:rsid w:val="004642EE"/>
    <w:rsid w:val="004966DC"/>
    <w:rsid w:val="004A7784"/>
    <w:rsid w:val="004F014B"/>
    <w:rsid w:val="00523247"/>
    <w:rsid w:val="0053198F"/>
    <w:rsid w:val="00552F28"/>
    <w:rsid w:val="005945D1"/>
    <w:rsid w:val="005D5370"/>
    <w:rsid w:val="005F2722"/>
    <w:rsid w:val="005F3B75"/>
    <w:rsid w:val="00613C0A"/>
    <w:rsid w:val="00621538"/>
    <w:rsid w:val="00644CAD"/>
    <w:rsid w:val="00644D33"/>
    <w:rsid w:val="00646046"/>
    <w:rsid w:val="00647A00"/>
    <w:rsid w:val="006A0F10"/>
    <w:rsid w:val="006B7B9A"/>
    <w:rsid w:val="00760710"/>
    <w:rsid w:val="00763764"/>
    <w:rsid w:val="007742BD"/>
    <w:rsid w:val="00776336"/>
    <w:rsid w:val="007C5C52"/>
    <w:rsid w:val="007E48A0"/>
    <w:rsid w:val="007F0EAE"/>
    <w:rsid w:val="007F2384"/>
    <w:rsid w:val="007F7C1E"/>
    <w:rsid w:val="00823605"/>
    <w:rsid w:val="0085503F"/>
    <w:rsid w:val="00894902"/>
    <w:rsid w:val="008A1381"/>
    <w:rsid w:val="008B39A1"/>
    <w:rsid w:val="008D7F23"/>
    <w:rsid w:val="008E5366"/>
    <w:rsid w:val="0093438B"/>
    <w:rsid w:val="00953D84"/>
    <w:rsid w:val="00957EC6"/>
    <w:rsid w:val="0096154C"/>
    <w:rsid w:val="00976DD7"/>
    <w:rsid w:val="00991199"/>
    <w:rsid w:val="00994CC7"/>
    <w:rsid w:val="009C5B3D"/>
    <w:rsid w:val="009D1E42"/>
    <w:rsid w:val="00A10471"/>
    <w:rsid w:val="00A545EF"/>
    <w:rsid w:val="00A658BE"/>
    <w:rsid w:val="00A82699"/>
    <w:rsid w:val="00AA2DD4"/>
    <w:rsid w:val="00AD2090"/>
    <w:rsid w:val="00AD44D8"/>
    <w:rsid w:val="00AF0A91"/>
    <w:rsid w:val="00B178E2"/>
    <w:rsid w:val="00B35FE9"/>
    <w:rsid w:val="00B46DF8"/>
    <w:rsid w:val="00B47B15"/>
    <w:rsid w:val="00B625EB"/>
    <w:rsid w:val="00B731F6"/>
    <w:rsid w:val="00B74162"/>
    <w:rsid w:val="00B84D52"/>
    <w:rsid w:val="00BD4195"/>
    <w:rsid w:val="00BD60CE"/>
    <w:rsid w:val="00BE32A9"/>
    <w:rsid w:val="00C03632"/>
    <w:rsid w:val="00C3466D"/>
    <w:rsid w:val="00C6294F"/>
    <w:rsid w:val="00CC0FC9"/>
    <w:rsid w:val="00CC3189"/>
    <w:rsid w:val="00CE2F36"/>
    <w:rsid w:val="00D071BA"/>
    <w:rsid w:val="00D31004"/>
    <w:rsid w:val="00D81168"/>
    <w:rsid w:val="00E04F59"/>
    <w:rsid w:val="00E062D5"/>
    <w:rsid w:val="00E140A1"/>
    <w:rsid w:val="00E216D2"/>
    <w:rsid w:val="00E25285"/>
    <w:rsid w:val="00EC3FCA"/>
    <w:rsid w:val="00ED3432"/>
    <w:rsid w:val="00ED7815"/>
    <w:rsid w:val="00EE54E8"/>
    <w:rsid w:val="00EE5508"/>
    <w:rsid w:val="00F300EA"/>
    <w:rsid w:val="00F34C10"/>
    <w:rsid w:val="00F4484B"/>
    <w:rsid w:val="00F4548F"/>
    <w:rsid w:val="00F70A70"/>
    <w:rsid w:val="00F805B1"/>
    <w:rsid w:val="00FB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3945"/>
  <w15:chartTrackingRefBased/>
  <w15:docId w15:val="{C2C0BC0E-ABD4-4F2A-A6BA-D73A5249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2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9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9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9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9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9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9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9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9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29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9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9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9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9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9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9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94F"/>
    <w:rPr>
      <w:rFonts w:eastAsiaTheme="majorEastAsia" w:cstheme="majorBidi"/>
      <w:color w:val="272727" w:themeColor="text1" w:themeTint="D8"/>
    </w:rPr>
  </w:style>
  <w:style w:type="paragraph" w:styleId="Title">
    <w:name w:val="Title"/>
    <w:basedOn w:val="Normal"/>
    <w:next w:val="Normal"/>
    <w:link w:val="TitleChar"/>
    <w:uiPriority w:val="10"/>
    <w:qFormat/>
    <w:rsid w:val="00C62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9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9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9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94F"/>
    <w:pPr>
      <w:spacing w:before="160"/>
      <w:jc w:val="center"/>
    </w:pPr>
    <w:rPr>
      <w:i/>
      <w:iCs/>
      <w:color w:val="404040" w:themeColor="text1" w:themeTint="BF"/>
    </w:rPr>
  </w:style>
  <w:style w:type="character" w:customStyle="1" w:styleId="QuoteChar">
    <w:name w:val="Quote Char"/>
    <w:basedOn w:val="DefaultParagraphFont"/>
    <w:link w:val="Quote"/>
    <w:uiPriority w:val="29"/>
    <w:rsid w:val="00C6294F"/>
    <w:rPr>
      <w:i/>
      <w:iCs/>
      <w:color w:val="404040" w:themeColor="text1" w:themeTint="BF"/>
    </w:rPr>
  </w:style>
  <w:style w:type="paragraph" w:styleId="ListParagraph">
    <w:name w:val="List Paragraph"/>
    <w:basedOn w:val="Normal"/>
    <w:uiPriority w:val="34"/>
    <w:qFormat/>
    <w:rsid w:val="00C6294F"/>
    <w:pPr>
      <w:ind w:left="720"/>
      <w:contextualSpacing/>
    </w:pPr>
  </w:style>
  <w:style w:type="character" w:styleId="IntenseEmphasis">
    <w:name w:val="Intense Emphasis"/>
    <w:basedOn w:val="DefaultParagraphFont"/>
    <w:uiPriority w:val="21"/>
    <w:qFormat/>
    <w:rsid w:val="00C6294F"/>
    <w:rPr>
      <w:i/>
      <w:iCs/>
      <w:color w:val="0F4761" w:themeColor="accent1" w:themeShade="BF"/>
    </w:rPr>
  </w:style>
  <w:style w:type="paragraph" w:styleId="IntenseQuote">
    <w:name w:val="Intense Quote"/>
    <w:basedOn w:val="Normal"/>
    <w:next w:val="Normal"/>
    <w:link w:val="IntenseQuoteChar"/>
    <w:uiPriority w:val="30"/>
    <w:qFormat/>
    <w:rsid w:val="00C62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94F"/>
    <w:rPr>
      <w:i/>
      <w:iCs/>
      <w:color w:val="0F4761" w:themeColor="accent1" w:themeShade="BF"/>
    </w:rPr>
  </w:style>
  <w:style w:type="character" w:styleId="IntenseReference">
    <w:name w:val="Intense Reference"/>
    <w:basedOn w:val="DefaultParagraphFont"/>
    <w:uiPriority w:val="32"/>
    <w:qFormat/>
    <w:rsid w:val="00C6294F"/>
    <w:rPr>
      <w:b/>
      <w:bCs/>
      <w:smallCaps/>
      <w:color w:val="0F4761" w:themeColor="accent1" w:themeShade="BF"/>
      <w:spacing w:val="5"/>
    </w:rPr>
  </w:style>
  <w:style w:type="table" w:styleId="PlainTable1">
    <w:name w:val="Plain Table 1"/>
    <w:basedOn w:val="TableNormal"/>
    <w:uiPriority w:val="41"/>
    <w:rsid w:val="008B39A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E7D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B74162"/>
    <w:rPr>
      <w:color w:val="467886" w:themeColor="hyperlink"/>
      <w:u w:val="single"/>
    </w:rPr>
  </w:style>
  <w:style w:type="character" w:styleId="UnresolvedMention">
    <w:name w:val="Unresolved Mention"/>
    <w:basedOn w:val="DefaultParagraphFont"/>
    <w:uiPriority w:val="99"/>
    <w:semiHidden/>
    <w:unhideWhenUsed/>
    <w:rsid w:val="00B74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hyperlink" Target="https://dof.ca.gov/Forecasting/Demographics/projections/" TargetMode="Externa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Veteran%20Services/CVSO%20Data%20Analysi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Pop!$J$11</c:f>
          <c:strCache>
            <c:ptCount val="1"/>
            <c:pt idx="0">
              <c:v>Total Population of Counties Similar to Plumas County from FY2020 to FY2024</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Pop!$B$1</c:f>
              <c:strCache>
                <c:ptCount val="1"/>
                <c:pt idx="0">
                  <c:v>Plumas</c:v>
                </c:pt>
              </c:strCache>
            </c:strRef>
          </c:tx>
          <c:spPr>
            <a:solidFill>
              <a:schemeClr val="accent2"/>
            </a:solidFill>
            <a:ln w="12700">
              <a:solidFill>
                <a:srgbClr val="EE0000"/>
              </a:solidFill>
              <a:prstDash val="dash"/>
            </a:ln>
            <a:effectLst/>
          </c:spPr>
          <c:invertIfNegative val="0"/>
          <c:cat>
            <c:strRef>
              <c:f>Pop!$A$3:$A$7</c:f>
              <c:strCache>
                <c:ptCount val="5"/>
                <c:pt idx="0">
                  <c:v>FY2020-2021</c:v>
                </c:pt>
                <c:pt idx="1">
                  <c:v>FY2021-2022</c:v>
                </c:pt>
                <c:pt idx="2">
                  <c:v>FY2022-2023</c:v>
                </c:pt>
                <c:pt idx="3">
                  <c:v>FY2023-2024</c:v>
                </c:pt>
                <c:pt idx="4">
                  <c:v>FY2024-2025</c:v>
                </c:pt>
              </c:strCache>
            </c:strRef>
          </c:cat>
          <c:val>
            <c:numRef>
              <c:f>Pop!$B$3:$B$7</c:f>
              <c:numCache>
                <c:formatCode>0</c:formatCode>
                <c:ptCount val="5"/>
                <c:pt idx="0">
                  <c:v>19733</c:v>
                </c:pt>
                <c:pt idx="1">
                  <c:v>19450</c:v>
                </c:pt>
                <c:pt idx="2">
                  <c:v>19143.5</c:v>
                </c:pt>
                <c:pt idx="3">
                  <c:v>18906.5</c:v>
                </c:pt>
                <c:pt idx="4">
                  <c:v>18795.5</c:v>
                </c:pt>
              </c:numCache>
            </c:numRef>
          </c:val>
          <c:extLst>
            <c:ext xmlns:c16="http://schemas.microsoft.com/office/drawing/2014/chart" uri="{C3380CC4-5D6E-409C-BE32-E72D297353CC}">
              <c16:uniqueId val="{00000000-420F-4A5F-ADCD-06AB52BE0CE8}"/>
            </c:ext>
          </c:extLst>
        </c:ser>
        <c:ser>
          <c:idx val="1"/>
          <c:order val="1"/>
          <c:tx>
            <c:strRef>
              <c:f>Pop!$C$1</c:f>
              <c:strCache>
                <c:ptCount val="1"/>
                <c:pt idx="0">
                  <c:v>Inyo</c:v>
                </c:pt>
              </c:strCache>
            </c:strRef>
          </c:tx>
          <c:spPr>
            <a:solidFill>
              <a:schemeClr val="accent4"/>
            </a:solidFill>
            <a:ln>
              <a:noFill/>
            </a:ln>
            <a:effectLst/>
          </c:spPr>
          <c:invertIfNegative val="0"/>
          <c:cat>
            <c:strRef>
              <c:f>Pop!$A$3:$A$7</c:f>
              <c:strCache>
                <c:ptCount val="5"/>
                <c:pt idx="0">
                  <c:v>FY2020-2021</c:v>
                </c:pt>
                <c:pt idx="1">
                  <c:v>FY2021-2022</c:v>
                </c:pt>
                <c:pt idx="2">
                  <c:v>FY2022-2023</c:v>
                </c:pt>
                <c:pt idx="3">
                  <c:v>FY2023-2024</c:v>
                </c:pt>
                <c:pt idx="4">
                  <c:v>FY2024-2025</c:v>
                </c:pt>
              </c:strCache>
            </c:strRef>
          </c:cat>
          <c:val>
            <c:numRef>
              <c:f>Pop!$C$3:$C$7</c:f>
              <c:numCache>
                <c:formatCode>0</c:formatCode>
                <c:ptCount val="5"/>
                <c:pt idx="0">
                  <c:v>18922</c:v>
                </c:pt>
                <c:pt idx="1">
                  <c:v>18868.5</c:v>
                </c:pt>
                <c:pt idx="2">
                  <c:v>18795</c:v>
                </c:pt>
                <c:pt idx="3">
                  <c:v>18690</c:v>
                </c:pt>
                <c:pt idx="4">
                  <c:v>18593.5</c:v>
                </c:pt>
              </c:numCache>
            </c:numRef>
          </c:val>
          <c:extLst>
            <c:ext xmlns:c16="http://schemas.microsoft.com/office/drawing/2014/chart" uri="{C3380CC4-5D6E-409C-BE32-E72D297353CC}">
              <c16:uniqueId val="{00000001-420F-4A5F-ADCD-06AB52BE0CE8}"/>
            </c:ext>
          </c:extLst>
        </c:ser>
        <c:ser>
          <c:idx val="2"/>
          <c:order val="2"/>
          <c:tx>
            <c:strRef>
              <c:f>Pop!$D$1</c:f>
              <c:strCache>
                <c:ptCount val="1"/>
                <c:pt idx="0">
                  <c:v>Mariposa</c:v>
                </c:pt>
              </c:strCache>
            </c:strRef>
          </c:tx>
          <c:spPr>
            <a:solidFill>
              <a:schemeClr val="accent6"/>
            </a:solidFill>
            <a:ln>
              <a:noFill/>
            </a:ln>
            <a:effectLst/>
          </c:spPr>
          <c:invertIfNegative val="0"/>
          <c:cat>
            <c:strRef>
              <c:f>Pop!$A$3:$A$7</c:f>
              <c:strCache>
                <c:ptCount val="5"/>
                <c:pt idx="0">
                  <c:v>FY2020-2021</c:v>
                </c:pt>
                <c:pt idx="1">
                  <c:v>FY2021-2022</c:v>
                </c:pt>
                <c:pt idx="2">
                  <c:v>FY2022-2023</c:v>
                </c:pt>
                <c:pt idx="3">
                  <c:v>FY2023-2024</c:v>
                </c:pt>
                <c:pt idx="4">
                  <c:v>FY2024-2025</c:v>
                </c:pt>
              </c:strCache>
            </c:strRef>
          </c:cat>
          <c:val>
            <c:numRef>
              <c:f>Pop!$D$3:$D$7</c:f>
              <c:numCache>
                <c:formatCode>0</c:formatCode>
                <c:ptCount val="5"/>
                <c:pt idx="0">
                  <c:v>17060</c:v>
                </c:pt>
                <c:pt idx="1">
                  <c:v>16981.5</c:v>
                </c:pt>
                <c:pt idx="2">
                  <c:v>16899.5</c:v>
                </c:pt>
                <c:pt idx="3">
                  <c:v>16827</c:v>
                </c:pt>
                <c:pt idx="4">
                  <c:v>16758</c:v>
                </c:pt>
              </c:numCache>
            </c:numRef>
          </c:val>
          <c:extLst>
            <c:ext xmlns:c16="http://schemas.microsoft.com/office/drawing/2014/chart" uri="{C3380CC4-5D6E-409C-BE32-E72D297353CC}">
              <c16:uniqueId val="{00000002-420F-4A5F-ADCD-06AB52BE0CE8}"/>
            </c:ext>
          </c:extLst>
        </c:ser>
        <c:ser>
          <c:idx val="3"/>
          <c:order val="3"/>
          <c:tx>
            <c:strRef>
              <c:f>Pop!$E$1</c:f>
              <c:strCache>
                <c:ptCount val="1"/>
                <c:pt idx="0">
                  <c:v>Del Norte</c:v>
                </c:pt>
              </c:strCache>
            </c:strRef>
          </c:tx>
          <c:spPr>
            <a:solidFill>
              <a:schemeClr val="accent2">
                <a:lumMod val="60000"/>
              </a:schemeClr>
            </a:solidFill>
            <a:ln>
              <a:noFill/>
            </a:ln>
            <a:effectLst/>
          </c:spPr>
          <c:invertIfNegative val="0"/>
          <c:cat>
            <c:strRef>
              <c:f>Pop!$A$3:$A$7</c:f>
              <c:strCache>
                <c:ptCount val="5"/>
                <c:pt idx="0">
                  <c:v>FY2020-2021</c:v>
                </c:pt>
                <c:pt idx="1">
                  <c:v>FY2021-2022</c:v>
                </c:pt>
                <c:pt idx="2">
                  <c:v>FY2022-2023</c:v>
                </c:pt>
                <c:pt idx="3">
                  <c:v>FY2023-2024</c:v>
                </c:pt>
                <c:pt idx="4">
                  <c:v>FY2024-2025</c:v>
                </c:pt>
              </c:strCache>
            </c:strRef>
          </c:cat>
          <c:val>
            <c:numRef>
              <c:f>Pop!$E$3:$E$7</c:f>
              <c:numCache>
                <c:formatCode>0</c:formatCode>
                <c:ptCount val="5"/>
                <c:pt idx="0">
                  <c:v>27437.5</c:v>
                </c:pt>
                <c:pt idx="1">
                  <c:v>26863</c:v>
                </c:pt>
                <c:pt idx="2">
                  <c:v>26368.5</c:v>
                </c:pt>
                <c:pt idx="3">
                  <c:v>26552</c:v>
                </c:pt>
                <c:pt idx="4">
                  <c:v>26625.5</c:v>
                </c:pt>
              </c:numCache>
            </c:numRef>
          </c:val>
          <c:extLst>
            <c:ext xmlns:c16="http://schemas.microsoft.com/office/drawing/2014/chart" uri="{C3380CC4-5D6E-409C-BE32-E72D297353CC}">
              <c16:uniqueId val="{00000003-420F-4A5F-ADCD-06AB52BE0CE8}"/>
            </c:ext>
          </c:extLst>
        </c:ser>
        <c:ser>
          <c:idx val="4"/>
          <c:order val="4"/>
          <c:tx>
            <c:strRef>
              <c:f>Pop!$F$1</c:f>
              <c:strCache>
                <c:ptCount val="1"/>
                <c:pt idx="0">
                  <c:v>Lassen</c:v>
                </c:pt>
              </c:strCache>
            </c:strRef>
          </c:tx>
          <c:spPr>
            <a:solidFill>
              <a:schemeClr val="accent4">
                <a:lumMod val="60000"/>
              </a:schemeClr>
            </a:solidFill>
            <a:ln>
              <a:noFill/>
            </a:ln>
            <a:effectLst/>
          </c:spPr>
          <c:invertIfNegative val="0"/>
          <c:cat>
            <c:strRef>
              <c:f>Pop!$A$3:$A$7</c:f>
              <c:strCache>
                <c:ptCount val="5"/>
                <c:pt idx="0">
                  <c:v>FY2020-2021</c:v>
                </c:pt>
                <c:pt idx="1">
                  <c:v>FY2021-2022</c:v>
                </c:pt>
                <c:pt idx="2">
                  <c:v>FY2022-2023</c:v>
                </c:pt>
                <c:pt idx="3">
                  <c:v>FY2023-2024</c:v>
                </c:pt>
                <c:pt idx="4">
                  <c:v>FY2024-2025</c:v>
                </c:pt>
              </c:strCache>
            </c:strRef>
          </c:cat>
          <c:val>
            <c:numRef>
              <c:f>Pop!$F$3:$F$7</c:f>
              <c:numCache>
                <c:formatCode>0</c:formatCode>
                <c:ptCount val="5"/>
                <c:pt idx="0">
                  <c:v>31474.5</c:v>
                </c:pt>
                <c:pt idx="1">
                  <c:v>30367.5</c:v>
                </c:pt>
                <c:pt idx="2">
                  <c:v>28866</c:v>
                </c:pt>
                <c:pt idx="3">
                  <c:v>28049.5</c:v>
                </c:pt>
                <c:pt idx="4">
                  <c:v>27698</c:v>
                </c:pt>
              </c:numCache>
            </c:numRef>
          </c:val>
          <c:extLst>
            <c:ext xmlns:c16="http://schemas.microsoft.com/office/drawing/2014/chart" uri="{C3380CC4-5D6E-409C-BE32-E72D297353CC}">
              <c16:uniqueId val="{00000004-420F-4A5F-ADCD-06AB52BE0CE8}"/>
            </c:ext>
          </c:extLst>
        </c:ser>
        <c:dLbls>
          <c:showLegendKey val="0"/>
          <c:showVal val="0"/>
          <c:showCatName val="0"/>
          <c:showSerName val="0"/>
          <c:showPercent val="0"/>
          <c:showBubbleSize val="0"/>
        </c:dLbls>
        <c:gapWidth val="219"/>
        <c:overlap val="-27"/>
        <c:axId val="1164552719"/>
        <c:axId val="1320990351"/>
      </c:barChart>
      <c:catAx>
        <c:axId val="11645527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Fiscal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0990351"/>
        <c:crosses val="autoZero"/>
        <c:auto val="1"/>
        <c:lblAlgn val="ctr"/>
        <c:lblOffset val="100"/>
        <c:noMultiLvlLbl val="0"/>
      </c:catAx>
      <c:valAx>
        <c:axId val="1320990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Population 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4552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Pop!$B$11</c:f>
          <c:strCache>
            <c:ptCount val="1"/>
            <c:pt idx="0">
              <c:v>Total Population of Counties Similar to Plumas County FY2024-2025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1"/>
              </a:solidFill>
              <a:ln w="12700">
                <a:solidFill>
                  <a:srgbClr val="EE0000"/>
                </a:solidFill>
                <a:prstDash val="dash"/>
              </a:ln>
              <a:effectLst/>
            </c:spPr>
            <c:extLst>
              <c:ext xmlns:c16="http://schemas.microsoft.com/office/drawing/2014/chart" uri="{C3380CC4-5D6E-409C-BE32-E72D297353CC}">
                <c16:uniqueId val="{00000001-FFB1-4111-8C7D-67EC8F20346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Pop!$B$1:$F$1</c:f>
              <c:strCache>
                <c:ptCount val="5"/>
                <c:pt idx="0">
                  <c:v>Plumas</c:v>
                </c:pt>
                <c:pt idx="1">
                  <c:v>Inyo</c:v>
                </c:pt>
                <c:pt idx="2">
                  <c:v>Mariposa</c:v>
                </c:pt>
                <c:pt idx="3">
                  <c:v>Del Norte</c:v>
                </c:pt>
                <c:pt idx="4">
                  <c:v>Lassen</c:v>
                </c:pt>
              </c:strCache>
            </c:strRef>
          </c:cat>
          <c:val>
            <c:numRef>
              <c:f>Pop!$B$7:$F$7</c:f>
              <c:numCache>
                <c:formatCode>0</c:formatCode>
                <c:ptCount val="5"/>
                <c:pt idx="0">
                  <c:v>18795.5</c:v>
                </c:pt>
                <c:pt idx="1">
                  <c:v>18593.5</c:v>
                </c:pt>
                <c:pt idx="2">
                  <c:v>16758</c:v>
                </c:pt>
                <c:pt idx="3">
                  <c:v>26625.5</c:v>
                </c:pt>
                <c:pt idx="4">
                  <c:v>27698</c:v>
                </c:pt>
              </c:numCache>
            </c:numRef>
          </c:val>
          <c:extLst>
            <c:ext xmlns:c16="http://schemas.microsoft.com/office/drawing/2014/chart" uri="{C3380CC4-5D6E-409C-BE32-E72D297353CC}">
              <c16:uniqueId val="{00000000-FFB1-4111-8C7D-67EC8F20346A}"/>
            </c:ext>
          </c:extLst>
        </c:ser>
        <c:dLbls>
          <c:showLegendKey val="0"/>
          <c:showVal val="0"/>
          <c:showCatName val="0"/>
          <c:showSerName val="0"/>
          <c:showPercent val="0"/>
          <c:showBubbleSize val="0"/>
        </c:dLbls>
        <c:gapWidth val="219"/>
        <c:overlap val="-27"/>
        <c:axId val="401047120"/>
        <c:axId val="401047600"/>
      </c:barChart>
      <c:catAx>
        <c:axId val="401047120"/>
        <c:scaling>
          <c:orientation val="minMax"/>
        </c:scaling>
        <c:delete val="0"/>
        <c:axPos val="b"/>
        <c:title>
          <c:tx>
            <c:strRef>
              <c:f>Pop!$B$12</c:f>
              <c:strCache>
                <c:ptCount val="1"/>
                <c:pt idx="0">
                  <c:v>County</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7600"/>
        <c:crosses val="autoZero"/>
        <c:auto val="1"/>
        <c:lblAlgn val="ctr"/>
        <c:lblOffset val="100"/>
        <c:noMultiLvlLbl val="0"/>
      </c:catAx>
      <c:valAx>
        <c:axId val="401047600"/>
        <c:scaling>
          <c:orientation val="minMax"/>
        </c:scaling>
        <c:delete val="0"/>
        <c:axPos val="l"/>
        <c:majorGridlines>
          <c:spPr>
            <a:ln w="9525" cap="flat" cmpd="sng" algn="ctr">
              <a:solidFill>
                <a:schemeClr val="tx1">
                  <a:lumMod val="15000"/>
                  <a:lumOff val="85000"/>
                </a:schemeClr>
              </a:solidFill>
              <a:round/>
            </a:ln>
            <a:effectLst/>
          </c:spPr>
        </c:majorGridlines>
        <c:title>
          <c:tx>
            <c:strRef>
              <c:f>Pop!$B$13</c:f>
              <c:strCache>
                <c:ptCount val="1"/>
                <c:pt idx="0">
                  <c:v>Total Population</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7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VetPop!$Q$1</c:f>
          <c:strCache>
            <c:ptCount val="1"/>
            <c:pt idx="0">
              <c:v>Veteran Population of Counties Similar to Plumas County from FY2020-2024</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VetPop!$B$1</c:f>
              <c:strCache>
                <c:ptCount val="1"/>
                <c:pt idx="0">
                  <c:v>Plumas</c:v>
                </c:pt>
              </c:strCache>
            </c:strRef>
          </c:tx>
          <c:spPr>
            <a:solidFill>
              <a:schemeClr val="accent2"/>
            </a:solidFill>
            <a:ln w="12700">
              <a:solidFill>
                <a:srgbClr val="EE0000"/>
              </a:solidFill>
              <a:prstDash val="dash"/>
            </a:ln>
            <a:effectLst/>
          </c:spPr>
          <c:invertIfNegative val="0"/>
          <c:cat>
            <c:strRef>
              <c:f>VetPop!$A$3:$A$7</c:f>
              <c:strCache>
                <c:ptCount val="5"/>
                <c:pt idx="0">
                  <c:v>FY2020-2021</c:v>
                </c:pt>
                <c:pt idx="1">
                  <c:v>FY2021-2022</c:v>
                </c:pt>
                <c:pt idx="2">
                  <c:v>FY2022-2023</c:v>
                </c:pt>
                <c:pt idx="3">
                  <c:v>FY2023-2024</c:v>
                </c:pt>
                <c:pt idx="4">
                  <c:v>FY2024-2025</c:v>
                </c:pt>
              </c:strCache>
            </c:strRef>
          </c:cat>
          <c:val>
            <c:numRef>
              <c:f>VetPop!$B$3:$B$7</c:f>
              <c:numCache>
                <c:formatCode>General</c:formatCode>
                <c:ptCount val="5"/>
                <c:pt idx="0">
                  <c:v>1772</c:v>
                </c:pt>
                <c:pt idx="1">
                  <c:v>1695</c:v>
                </c:pt>
                <c:pt idx="2">
                  <c:v>1610</c:v>
                </c:pt>
                <c:pt idx="3">
                  <c:v>1365</c:v>
                </c:pt>
                <c:pt idx="4">
                  <c:v>1291</c:v>
                </c:pt>
              </c:numCache>
            </c:numRef>
          </c:val>
          <c:extLst>
            <c:ext xmlns:c16="http://schemas.microsoft.com/office/drawing/2014/chart" uri="{C3380CC4-5D6E-409C-BE32-E72D297353CC}">
              <c16:uniqueId val="{00000000-6CCE-4520-9173-FCC08A6F9015}"/>
            </c:ext>
          </c:extLst>
        </c:ser>
        <c:ser>
          <c:idx val="1"/>
          <c:order val="1"/>
          <c:tx>
            <c:strRef>
              <c:f>VetPop!$C$1</c:f>
              <c:strCache>
                <c:ptCount val="1"/>
                <c:pt idx="0">
                  <c:v>Inyo</c:v>
                </c:pt>
              </c:strCache>
            </c:strRef>
          </c:tx>
          <c:spPr>
            <a:solidFill>
              <a:schemeClr val="accent4"/>
            </a:solidFill>
            <a:ln>
              <a:noFill/>
            </a:ln>
            <a:effectLst/>
          </c:spPr>
          <c:invertIfNegative val="0"/>
          <c:cat>
            <c:strRef>
              <c:f>VetPop!$A$3:$A$7</c:f>
              <c:strCache>
                <c:ptCount val="5"/>
                <c:pt idx="0">
                  <c:v>FY2020-2021</c:v>
                </c:pt>
                <c:pt idx="1">
                  <c:v>FY2021-2022</c:v>
                </c:pt>
                <c:pt idx="2">
                  <c:v>FY2022-2023</c:v>
                </c:pt>
                <c:pt idx="3">
                  <c:v>FY2023-2024</c:v>
                </c:pt>
                <c:pt idx="4">
                  <c:v>FY2024-2025</c:v>
                </c:pt>
              </c:strCache>
            </c:strRef>
          </c:cat>
          <c:val>
            <c:numRef>
              <c:f>VetPop!$C$3:$C$7</c:f>
              <c:numCache>
                <c:formatCode>General</c:formatCode>
                <c:ptCount val="5"/>
                <c:pt idx="0">
                  <c:v>2061</c:v>
                </c:pt>
                <c:pt idx="1">
                  <c:v>1956</c:v>
                </c:pt>
                <c:pt idx="2">
                  <c:v>1387</c:v>
                </c:pt>
                <c:pt idx="3">
                  <c:v>1520</c:v>
                </c:pt>
                <c:pt idx="4">
                  <c:v>1451</c:v>
                </c:pt>
              </c:numCache>
            </c:numRef>
          </c:val>
          <c:extLst>
            <c:ext xmlns:c16="http://schemas.microsoft.com/office/drawing/2014/chart" uri="{C3380CC4-5D6E-409C-BE32-E72D297353CC}">
              <c16:uniqueId val="{00000001-6CCE-4520-9173-FCC08A6F9015}"/>
            </c:ext>
          </c:extLst>
        </c:ser>
        <c:ser>
          <c:idx val="2"/>
          <c:order val="2"/>
          <c:tx>
            <c:strRef>
              <c:f>VetPop!$D$1</c:f>
              <c:strCache>
                <c:ptCount val="1"/>
                <c:pt idx="0">
                  <c:v>Mariposa</c:v>
                </c:pt>
              </c:strCache>
            </c:strRef>
          </c:tx>
          <c:spPr>
            <a:solidFill>
              <a:schemeClr val="accent6"/>
            </a:solidFill>
            <a:ln>
              <a:noFill/>
            </a:ln>
            <a:effectLst/>
          </c:spPr>
          <c:invertIfNegative val="0"/>
          <c:cat>
            <c:strRef>
              <c:f>VetPop!$A$3:$A$7</c:f>
              <c:strCache>
                <c:ptCount val="5"/>
                <c:pt idx="0">
                  <c:v>FY2020-2021</c:v>
                </c:pt>
                <c:pt idx="1">
                  <c:v>FY2021-2022</c:v>
                </c:pt>
                <c:pt idx="2">
                  <c:v>FY2022-2023</c:v>
                </c:pt>
                <c:pt idx="3">
                  <c:v>FY2023-2024</c:v>
                </c:pt>
                <c:pt idx="4">
                  <c:v>FY2024-2025</c:v>
                </c:pt>
              </c:strCache>
            </c:strRef>
          </c:cat>
          <c:val>
            <c:numRef>
              <c:f>VetPop!$D$3:$D$7</c:f>
              <c:numCache>
                <c:formatCode>General</c:formatCode>
                <c:ptCount val="5"/>
                <c:pt idx="0">
                  <c:v>1583</c:v>
                </c:pt>
                <c:pt idx="1">
                  <c:v>1516</c:v>
                </c:pt>
                <c:pt idx="2">
                  <c:v>1458</c:v>
                </c:pt>
                <c:pt idx="3">
                  <c:v>1507</c:v>
                </c:pt>
                <c:pt idx="4">
                  <c:v>1463</c:v>
                </c:pt>
              </c:numCache>
            </c:numRef>
          </c:val>
          <c:extLst>
            <c:ext xmlns:c16="http://schemas.microsoft.com/office/drawing/2014/chart" uri="{C3380CC4-5D6E-409C-BE32-E72D297353CC}">
              <c16:uniqueId val="{00000002-6CCE-4520-9173-FCC08A6F9015}"/>
            </c:ext>
          </c:extLst>
        </c:ser>
        <c:ser>
          <c:idx val="3"/>
          <c:order val="3"/>
          <c:tx>
            <c:strRef>
              <c:f>VetPop!$E$1</c:f>
              <c:strCache>
                <c:ptCount val="1"/>
                <c:pt idx="0">
                  <c:v>Del Norte</c:v>
                </c:pt>
              </c:strCache>
            </c:strRef>
          </c:tx>
          <c:spPr>
            <a:solidFill>
              <a:schemeClr val="accent2">
                <a:lumMod val="60000"/>
              </a:schemeClr>
            </a:solidFill>
            <a:ln>
              <a:noFill/>
            </a:ln>
            <a:effectLst/>
          </c:spPr>
          <c:invertIfNegative val="0"/>
          <c:cat>
            <c:strRef>
              <c:f>VetPop!$A$3:$A$7</c:f>
              <c:strCache>
                <c:ptCount val="5"/>
                <c:pt idx="0">
                  <c:v>FY2020-2021</c:v>
                </c:pt>
                <c:pt idx="1">
                  <c:v>FY2021-2022</c:v>
                </c:pt>
                <c:pt idx="2">
                  <c:v>FY2022-2023</c:v>
                </c:pt>
                <c:pt idx="3">
                  <c:v>FY2023-2024</c:v>
                </c:pt>
                <c:pt idx="4">
                  <c:v>FY2024-2025</c:v>
                </c:pt>
              </c:strCache>
            </c:strRef>
          </c:cat>
          <c:val>
            <c:numRef>
              <c:f>VetPop!$E$3:$E$7</c:f>
              <c:numCache>
                <c:formatCode>General</c:formatCode>
                <c:ptCount val="5"/>
                <c:pt idx="0">
                  <c:v>2026</c:v>
                </c:pt>
                <c:pt idx="1">
                  <c:v>1970</c:v>
                </c:pt>
                <c:pt idx="2">
                  <c:v>1894</c:v>
                </c:pt>
                <c:pt idx="3">
                  <c:v>1756</c:v>
                </c:pt>
                <c:pt idx="4">
                  <c:v>1669</c:v>
                </c:pt>
              </c:numCache>
            </c:numRef>
          </c:val>
          <c:extLst>
            <c:ext xmlns:c16="http://schemas.microsoft.com/office/drawing/2014/chart" uri="{C3380CC4-5D6E-409C-BE32-E72D297353CC}">
              <c16:uniqueId val="{00000003-6CCE-4520-9173-FCC08A6F9015}"/>
            </c:ext>
          </c:extLst>
        </c:ser>
        <c:ser>
          <c:idx val="4"/>
          <c:order val="4"/>
          <c:tx>
            <c:strRef>
              <c:f>VetPop!$F$1</c:f>
              <c:strCache>
                <c:ptCount val="1"/>
                <c:pt idx="0">
                  <c:v>Lassen</c:v>
                </c:pt>
              </c:strCache>
            </c:strRef>
          </c:tx>
          <c:spPr>
            <a:solidFill>
              <a:schemeClr val="accent4">
                <a:lumMod val="60000"/>
              </a:schemeClr>
            </a:solidFill>
            <a:ln>
              <a:noFill/>
            </a:ln>
            <a:effectLst/>
          </c:spPr>
          <c:invertIfNegative val="0"/>
          <c:cat>
            <c:strRef>
              <c:f>VetPop!$A$3:$A$7</c:f>
              <c:strCache>
                <c:ptCount val="5"/>
                <c:pt idx="0">
                  <c:v>FY2020-2021</c:v>
                </c:pt>
                <c:pt idx="1">
                  <c:v>FY2021-2022</c:v>
                </c:pt>
                <c:pt idx="2">
                  <c:v>FY2022-2023</c:v>
                </c:pt>
                <c:pt idx="3">
                  <c:v>FY2023-2024</c:v>
                </c:pt>
                <c:pt idx="4">
                  <c:v>FY2024-2025</c:v>
                </c:pt>
              </c:strCache>
            </c:strRef>
          </c:cat>
          <c:val>
            <c:numRef>
              <c:f>VetPop!$F$3:$F$7</c:f>
              <c:numCache>
                <c:formatCode>General</c:formatCode>
                <c:ptCount val="5"/>
                <c:pt idx="0">
                  <c:v>2010</c:v>
                </c:pt>
                <c:pt idx="1">
                  <c:v>2015</c:v>
                </c:pt>
                <c:pt idx="2">
                  <c:v>1919</c:v>
                </c:pt>
                <c:pt idx="3">
                  <c:v>1980</c:v>
                </c:pt>
                <c:pt idx="4">
                  <c:v>1910</c:v>
                </c:pt>
              </c:numCache>
            </c:numRef>
          </c:val>
          <c:extLst>
            <c:ext xmlns:c16="http://schemas.microsoft.com/office/drawing/2014/chart" uri="{C3380CC4-5D6E-409C-BE32-E72D297353CC}">
              <c16:uniqueId val="{00000004-6CCE-4520-9173-FCC08A6F9015}"/>
            </c:ext>
          </c:extLst>
        </c:ser>
        <c:dLbls>
          <c:showLegendKey val="0"/>
          <c:showVal val="0"/>
          <c:showCatName val="0"/>
          <c:showSerName val="0"/>
          <c:showPercent val="0"/>
          <c:showBubbleSize val="0"/>
        </c:dLbls>
        <c:gapWidth val="219"/>
        <c:axId val="1159424239"/>
        <c:axId val="1158368639"/>
      </c:barChart>
      <c:catAx>
        <c:axId val="1159424239"/>
        <c:scaling>
          <c:orientation val="minMax"/>
        </c:scaling>
        <c:delete val="0"/>
        <c:axPos val="b"/>
        <c:title>
          <c:tx>
            <c:strRef>
              <c:f>VetPop!$Q$2</c:f>
              <c:strCache>
                <c:ptCount val="1"/>
                <c:pt idx="0">
                  <c:v>Fiscal Year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368639"/>
        <c:crosses val="autoZero"/>
        <c:auto val="1"/>
        <c:lblAlgn val="ctr"/>
        <c:lblOffset val="100"/>
        <c:noMultiLvlLbl val="0"/>
      </c:catAx>
      <c:valAx>
        <c:axId val="1158368639"/>
        <c:scaling>
          <c:orientation val="minMax"/>
        </c:scaling>
        <c:delete val="0"/>
        <c:axPos val="l"/>
        <c:majorGridlines>
          <c:spPr>
            <a:ln w="9525" cap="flat" cmpd="sng" algn="ctr">
              <a:solidFill>
                <a:schemeClr val="tx1">
                  <a:lumMod val="15000"/>
                  <a:lumOff val="85000"/>
                </a:schemeClr>
              </a:solidFill>
              <a:round/>
            </a:ln>
            <a:effectLst/>
          </c:spPr>
        </c:majorGridlines>
        <c:title>
          <c:tx>
            <c:strRef>
              <c:f>VetPop!$Q$3</c:f>
              <c:strCache>
                <c:ptCount val="1"/>
                <c:pt idx="0">
                  <c:v>Veteran Population</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942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VetPop!$I$1</c:f>
          <c:strCache>
            <c:ptCount val="1"/>
            <c:pt idx="0">
              <c:v>Veteran Population of Counties Similar to Plumas County FY 2024-2025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VetPop!$B$1:$F$1</c:f>
              <c:strCache>
                <c:ptCount val="5"/>
                <c:pt idx="0">
                  <c:v>Plumas</c:v>
                </c:pt>
                <c:pt idx="1">
                  <c:v>Inyo</c:v>
                </c:pt>
                <c:pt idx="2">
                  <c:v>Mariposa</c:v>
                </c:pt>
                <c:pt idx="3">
                  <c:v>Del Norte</c:v>
                </c:pt>
                <c:pt idx="4">
                  <c:v>Lassen</c:v>
                </c:pt>
              </c:strCache>
            </c:strRef>
          </c:cat>
          <c:val>
            <c:numRef>
              <c:f>VetPop!$B$7:$F$7</c:f>
              <c:numCache>
                <c:formatCode>General</c:formatCode>
                <c:ptCount val="5"/>
                <c:pt idx="0">
                  <c:v>1291</c:v>
                </c:pt>
                <c:pt idx="1">
                  <c:v>1451</c:v>
                </c:pt>
                <c:pt idx="2">
                  <c:v>1463</c:v>
                </c:pt>
                <c:pt idx="3">
                  <c:v>1669</c:v>
                </c:pt>
                <c:pt idx="4">
                  <c:v>1910</c:v>
                </c:pt>
              </c:numCache>
            </c:numRef>
          </c:val>
          <c:extLst>
            <c:ext xmlns:c16="http://schemas.microsoft.com/office/drawing/2014/chart" uri="{C3380CC4-5D6E-409C-BE32-E72D297353CC}">
              <c16:uniqueId val="{00000000-65A6-4190-916F-7E39C00623BA}"/>
            </c:ext>
          </c:extLst>
        </c:ser>
        <c:dLbls>
          <c:dLblPos val="outEnd"/>
          <c:showLegendKey val="0"/>
          <c:showVal val="1"/>
          <c:showCatName val="0"/>
          <c:showSerName val="0"/>
          <c:showPercent val="0"/>
          <c:showBubbleSize val="0"/>
        </c:dLbls>
        <c:gapWidth val="219"/>
        <c:overlap val="-27"/>
        <c:axId val="1308966272"/>
        <c:axId val="1308964832"/>
      </c:barChart>
      <c:catAx>
        <c:axId val="1308966272"/>
        <c:scaling>
          <c:orientation val="minMax"/>
        </c:scaling>
        <c:delete val="0"/>
        <c:axPos val="b"/>
        <c:title>
          <c:tx>
            <c:strRef>
              <c:f>VetPop!$I$2</c:f>
              <c:strCache>
                <c:ptCount val="1"/>
                <c:pt idx="0">
                  <c:v>County</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8964832"/>
        <c:crosses val="autoZero"/>
        <c:auto val="1"/>
        <c:lblAlgn val="ctr"/>
        <c:lblOffset val="100"/>
        <c:noMultiLvlLbl val="0"/>
      </c:catAx>
      <c:valAx>
        <c:axId val="1308964832"/>
        <c:scaling>
          <c:orientation val="minMax"/>
        </c:scaling>
        <c:delete val="0"/>
        <c:axPos val="l"/>
        <c:majorGridlines>
          <c:spPr>
            <a:ln w="9525" cap="flat" cmpd="sng" algn="ctr">
              <a:solidFill>
                <a:schemeClr val="tx1">
                  <a:lumMod val="15000"/>
                  <a:lumOff val="85000"/>
                </a:schemeClr>
              </a:solidFill>
              <a:round/>
            </a:ln>
            <a:effectLst/>
          </c:spPr>
        </c:majorGridlines>
        <c:title>
          <c:tx>
            <c:strRef>
              <c:f>VetPop!$I$3</c:f>
              <c:strCache>
                <c:ptCount val="1"/>
                <c:pt idx="0">
                  <c:v>Veteran Population</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89662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'Plumas%'!$B$9</c:f>
          <c:strCache>
            <c:ptCount val="1"/>
            <c:pt idx="0">
              <c:v>Number of Claims Submitted in Plumas County by Fiscal Year</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'Plumas%'!$C$3:$C$7</c:f>
              <c:strCache>
                <c:ptCount val="5"/>
                <c:pt idx="0">
                  <c:v>FY2020-2021</c:v>
                </c:pt>
                <c:pt idx="1">
                  <c:v>FY2021-2022</c:v>
                </c:pt>
                <c:pt idx="2">
                  <c:v>FY2022-2023</c:v>
                </c:pt>
                <c:pt idx="3">
                  <c:v>FY2023-2024</c:v>
                </c:pt>
                <c:pt idx="4">
                  <c:v>FY2024-2025</c:v>
                </c:pt>
              </c:strCache>
            </c:strRef>
          </c:cat>
          <c:val>
            <c:numRef>
              <c:f>'Plumas%'!$D$3:$D$7</c:f>
              <c:numCache>
                <c:formatCode>General</c:formatCode>
                <c:ptCount val="5"/>
                <c:pt idx="0">
                  <c:v>183</c:v>
                </c:pt>
                <c:pt idx="1">
                  <c:v>124</c:v>
                </c:pt>
                <c:pt idx="2">
                  <c:v>452</c:v>
                </c:pt>
                <c:pt idx="3">
                  <c:v>418</c:v>
                </c:pt>
                <c:pt idx="4">
                  <c:v>449</c:v>
                </c:pt>
              </c:numCache>
            </c:numRef>
          </c:val>
          <c:extLst>
            <c:ext xmlns:c16="http://schemas.microsoft.com/office/drawing/2014/chart" uri="{C3380CC4-5D6E-409C-BE32-E72D297353CC}">
              <c16:uniqueId val="{00000000-3E98-421A-8586-4F4EBE6F49B6}"/>
            </c:ext>
          </c:extLst>
        </c:ser>
        <c:ser>
          <c:idx val="1"/>
          <c:order val="1"/>
          <c:spPr>
            <a:noFill/>
            <a:ln>
              <a:noFill/>
            </a:ln>
            <a:effectLst/>
          </c:spPr>
          <c:invertIfNegative val="0"/>
          <c:dLbls>
            <c:dLbl>
              <c:idx val="0"/>
              <c:tx>
                <c:rich>
                  <a:bodyPr/>
                  <a:lstStyle/>
                  <a:p>
                    <a:fld id="{08847336-EB68-4FEB-BC05-F395115A8717}"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E98-421A-8586-4F4EBE6F49B6}"/>
                </c:ext>
              </c:extLst>
            </c:dLbl>
            <c:dLbl>
              <c:idx val="1"/>
              <c:tx>
                <c:rich>
                  <a:bodyPr/>
                  <a:lstStyle/>
                  <a:p>
                    <a:fld id="{EA146D40-9F0D-42EA-A008-A81E065DA44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3E98-421A-8586-4F4EBE6F49B6}"/>
                </c:ext>
              </c:extLst>
            </c:dLbl>
            <c:dLbl>
              <c:idx val="2"/>
              <c:tx>
                <c:rich>
                  <a:bodyPr/>
                  <a:lstStyle/>
                  <a:p>
                    <a:fld id="{AC2BA929-13DC-4315-9D2C-BA2E49F3037B}"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E98-421A-8586-4F4EBE6F49B6}"/>
                </c:ext>
              </c:extLst>
            </c:dLbl>
            <c:dLbl>
              <c:idx val="3"/>
              <c:tx>
                <c:rich>
                  <a:bodyPr/>
                  <a:lstStyle/>
                  <a:p>
                    <a:fld id="{7040BED2-6E89-4FB4-AB07-5E51FF6A107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3E98-421A-8586-4F4EBE6F49B6}"/>
                </c:ext>
              </c:extLst>
            </c:dLbl>
            <c:dLbl>
              <c:idx val="4"/>
              <c:tx>
                <c:rich>
                  <a:bodyPr/>
                  <a:lstStyle/>
                  <a:p>
                    <a:endParaRPr lang="en-US"/>
                  </a:p>
                </c:rich>
              </c:tx>
              <c:dLblPos val="inEnd"/>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05-3E98-421A-8586-4F4EBE6F49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'Plumas%'!$G$3:$G$6</c:f>
                <c:numCache>
                  <c:formatCode>General</c:formatCode>
                  <c:ptCount val="4"/>
                  <c:pt idx="0">
                    <c:v>0</c:v>
                  </c:pt>
                  <c:pt idx="1">
                    <c:v>-328</c:v>
                  </c:pt>
                  <c:pt idx="2">
                    <c:v>0</c:v>
                  </c:pt>
                  <c:pt idx="3">
                    <c:v>-31</c:v>
                  </c:pt>
                </c:numCache>
              </c:numRef>
            </c:plus>
            <c:minus>
              <c:numRef>
                <c:f>'Plumas%'!$H$3:$H$6</c:f>
                <c:numCache>
                  <c:formatCode>General</c:formatCode>
                  <c:ptCount val="4"/>
                  <c:pt idx="0">
                    <c:v>-59</c:v>
                  </c:pt>
                  <c:pt idx="1">
                    <c:v>0</c:v>
                  </c:pt>
                  <c:pt idx="2">
                    <c:v>-34</c:v>
                  </c:pt>
                  <c:pt idx="3">
                    <c:v>0</c:v>
                  </c:pt>
                </c:numCache>
              </c:numRef>
            </c:minus>
            <c:spPr>
              <a:noFill/>
              <a:ln w="9525" cap="flat" cmpd="sng" algn="ctr">
                <a:solidFill>
                  <a:schemeClr val="tx1">
                    <a:lumMod val="65000"/>
                    <a:lumOff val="35000"/>
                  </a:schemeClr>
                </a:solidFill>
                <a:round/>
              </a:ln>
              <a:effectLst/>
            </c:spPr>
          </c:errBars>
          <c:cat>
            <c:strRef>
              <c:f>'Plumas%'!$C$3:$C$7</c:f>
              <c:strCache>
                <c:ptCount val="5"/>
                <c:pt idx="0">
                  <c:v>FY2020-2021</c:v>
                </c:pt>
                <c:pt idx="1">
                  <c:v>FY2021-2022</c:v>
                </c:pt>
                <c:pt idx="2">
                  <c:v>FY2022-2023</c:v>
                </c:pt>
                <c:pt idx="3">
                  <c:v>FY2023-2024</c:v>
                </c:pt>
                <c:pt idx="4">
                  <c:v>FY2024-2025</c:v>
                </c:pt>
              </c:strCache>
            </c:strRef>
          </c:cat>
          <c:val>
            <c:numRef>
              <c:f>'Plumas%'!$E$3:$E$7</c:f>
              <c:numCache>
                <c:formatCode>General</c:formatCode>
                <c:ptCount val="5"/>
                <c:pt idx="0">
                  <c:v>124</c:v>
                </c:pt>
                <c:pt idx="1">
                  <c:v>452</c:v>
                </c:pt>
                <c:pt idx="2">
                  <c:v>418</c:v>
                </c:pt>
                <c:pt idx="3">
                  <c:v>449</c:v>
                </c:pt>
              </c:numCache>
            </c:numRef>
          </c:val>
          <c:extLst>
            <c:ext xmlns:c15="http://schemas.microsoft.com/office/drawing/2012/chart" uri="{02D57815-91ED-43cb-92C2-25804820EDAC}">
              <c15:datalabelsRange>
                <c15:f>'Plumas%'!$I$3:$I$6</c15:f>
                <c15:dlblRangeCache>
                  <c:ptCount val="4"/>
                  <c:pt idx="0">
                    <c:v>-32%</c:v>
                  </c:pt>
                  <c:pt idx="1">
                    <c:v>265%</c:v>
                  </c:pt>
                  <c:pt idx="2">
                    <c:v>-8%</c:v>
                  </c:pt>
                  <c:pt idx="3">
                    <c:v>7%</c:v>
                  </c:pt>
                </c15:dlblRangeCache>
              </c15:datalabelsRange>
            </c:ext>
            <c:ext xmlns:c16="http://schemas.microsoft.com/office/drawing/2014/chart" uri="{C3380CC4-5D6E-409C-BE32-E72D297353CC}">
              <c16:uniqueId val="{00000006-3E98-421A-8586-4F4EBE6F49B6}"/>
            </c:ext>
          </c:extLst>
        </c:ser>
        <c:dLbls>
          <c:dLblPos val="inEnd"/>
          <c:showLegendKey val="0"/>
          <c:showVal val="1"/>
          <c:showCatName val="0"/>
          <c:showSerName val="0"/>
          <c:showPercent val="0"/>
          <c:showBubbleSize val="0"/>
        </c:dLbls>
        <c:gapWidth val="0"/>
        <c:axId val="1317652463"/>
        <c:axId val="1317658223"/>
      </c:barChart>
      <c:catAx>
        <c:axId val="1317652463"/>
        <c:scaling>
          <c:orientation val="minMax"/>
        </c:scaling>
        <c:delete val="0"/>
        <c:axPos val="b"/>
        <c:title>
          <c:tx>
            <c:strRef>
              <c:f>'Plumas%'!$B$10</c:f>
              <c:strCache>
                <c:ptCount val="1"/>
                <c:pt idx="0">
                  <c:v>Fiscal Year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658223"/>
        <c:crosses val="autoZero"/>
        <c:auto val="1"/>
        <c:lblAlgn val="ctr"/>
        <c:lblOffset val="100"/>
        <c:noMultiLvlLbl val="0"/>
      </c:catAx>
      <c:valAx>
        <c:axId val="1317658223"/>
        <c:scaling>
          <c:orientation val="minMax"/>
        </c:scaling>
        <c:delete val="0"/>
        <c:axPos val="l"/>
        <c:majorGridlines>
          <c:spPr>
            <a:ln w="9525" cap="flat" cmpd="sng" algn="ctr">
              <a:solidFill>
                <a:schemeClr val="tx1">
                  <a:lumMod val="15000"/>
                  <a:lumOff val="85000"/>
                </a:schemeClr>
              </a:solidFill>
              <a:round/>
            </a:ln>
            <a:effectLst/>
          </c:spPr>
        </c:majorGridlines>
        <c:title>
          <c:tx>
            <c:strRef>
              <c:f>'Plumas%'!$B$11</c:f>
              <c:strCache>
                <c:ptCount val="1"/>
                <c:pt idx="0">
                  <c:v>Number of Claims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6524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Claims!$I$1</c:f>
          <c:strCache>
            <c:ptCount val="1"/>
            <c:pt idx="0">
              <c:v>Number of Claims Submitted  by Fiscal Year between Plumas County and Other Similar Counties</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Claims!$B$1</c:f>
              <c:strCache>
                <c:ptCount val="1"/>
                <c:pt idx="0">
                  <c:v>Plumas</c:v>
                </c:pt>
              </c:strCache>
            </c:strRef>
          </c:tx>
          <c:spPr>
            <a:solidFill>
              <a:schemeClr val="accent1"/>
            </a:solidFill>
            <a:ln w="12700">
              <a:solidFill>
                <a:srgbClr val="FF0000"/>
              </a:solidFill>
              <a:prstDash val="dash"/>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Claims!$A$3:$A$7</c:f>
              <c:strCache>
                <c:ptCount val="5"/>
                <c:pt idx="0">
                  <c:v>FY2020-2021</c:v>
                </c:pt>
                <c:pt idx="1">
                  <c:v>FY2021-2022</c:v>
                </c:pt>
                <c:pt idx="2">
                  <c:v>FY2022-2023</c:v>
                </c:pt>
                <c:pt idx="3">
                  <c:v>FY2023-2024</c:v>
                </c:pt>
                <c:pt idx="4">
                  <c:v>FY2024-2025</c:v>
                </c:pt>
              </c:strCache>
            </c:strRef>
          </c:cat>
          <c:val>
            <c:numRef>
              <c:f>Claims!$B$3:$B$7</c:f>
              <c:numCache>
                <c:formatCode>General</c:formatCode>
                <c:ptCount val="5"/>
                <c:pt idx="0">
                  <c:v>183</c:v>
                </c:pt>
                <c:pt idx="1">
                  <c:v>124</c:v>
                </c:pt>
                <c:pt idx="2">
                  <c:v>452</c:v>
                </c:pt>
                <c:pt idx="3">
                  <c:v>418</c:v>
                </c:pt>
                <c:pt idx="4">
                  <c:v>449</c:v>
                </c:pt>
              </c:numCache>
            </c:numRef>
          </c:val>
          <c:extLst>
            <c:ext xmlns:c16="http://schemas.microsoft.com/office/drawing/2014/chart" uri="{C3380CC4-5D6E-409C-BE32-E72D297353CC}">
              <c16:uniqueId val="{00000000-D412-457E-BE04-0F0034BF2F32}"/>
            </c:ext>
          </c:extLst>
        </c:ser>
        <c:ser>
          <c:idx val="1"/>
          <c:order val="1"/>
          <c:tx>
            <c:strRef>
              <c:f>Claims!$C$1</c:f>
              <c:strCache>
                <c:ptCount val="1"/>
                <c:pt idx="0">
                  <c:v>Inyo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Claims!$A$3:$A$7</c:f>
              <c:strCache>
                <c:ptCount val="5"/>
                <c:pt idx="0">
                  <c:v>FY2020-2021</c:v>
                </c:pt>
                <c:pt idx="1">
                  <c:v>FY2021-2022</c:v>
                </c:pt>
                <c:pt idx="2">
                  <c:v>FY2022-2023</c:v>
                </c:pt>
                <c:pt idx="3">
                  <c:v>FY2023-2024</c:v>
                </c:pt>
                <c:pt idx="4">
                  <c:v>FY2024-2025</c:v>
                </c:pt>
              </c:strCache>
            </c:strRef>
          </c:cat>
          <c:val>
            <c:numRef>
              <c:f>Claims!$C$3:$C$7</c:f>
              <c:numCache>
                <c:formatCode>General</c:formatCode>
                <c:ptCount val="5"/>
                <c:pt idx="0">
                  <c:v>14</c:v>
                </c:pt>
                <c:pt idx="1">
                  <c:v>131</c:v>
                </c:pt>
                <c:pt idx="2">
                  <c:v>228</c:v>
                </c:pt>
                <c:pt idx="3">
                  <c:v>280</c:v>
                </c:pt>
                <c:pt idx="4">
                  <c:v>192</c:v>
                </c:pt>
              </c:numCache>
            </c:numRef>
          </c:val>
          <c:extLst>
            <c:ext xmlns:c16="http://schemas.microsoft.com/office/drawing/2014/chart" uri="{C3380CC4-5D6E-409C-BE32-E72D297353CC}">
              <c16:uniqueId val="{00000001-D412-457E-BE04-0F0034BF2F32}"/>
            </c:ext>
          </c:extLst>
        </c:ser>
        <c:ser>
          <c:idx val="2"/>
          <c:order val="2"/>
          <c:tx>
            <c:strRef>
              <c:f>Claims!$D$1</c:f>
              <c:strCache>
                <c:ptCount val="1"/>
                <c:pt idx="0">
                  <c:v>Mariposa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Claims!$A$3:$A$7</c:f>
              <c:strCache>
                <c:ptCount val="5"/>
                <c:pt idx="0">
                  <c:v>FY2020-2021</c:v>
                </c:pt>
                <c:pt idx="1">
                  <c:v>FY2021-2022</c:v>
                </c:pt>
                <c:pt idx="2">
                  <c:v>FY2022-2023</c:v>
                </c:pt>
                <c:pt idx="3">
                  <c:v>FY2023-2024</c:v>
                </c:pt>
                <c:pt idx="4">
                  <c:v>FY2024-2025</c:v>
                </c:pt>
              </c:strCache>
            </c:strRef>
          </c:cat>
          <c:val>
            <c:numRef>
              <c:f>Claims!$D$3:$D$7</c:f>
              <c:numCache>
                <c:formatCode>General</c:formatCode>
                <c:ptCount val="5"/>
                <c:pt idx="0">
                  <c:v>21</c:v>
                </c:pt>
                <c:pt idx="1">
                  <c:v>23</c:v>
                </c:pt>
                <c:pt idx="2">
                  <c:v>32</c:v>
                </c:pt>
                <c:pt idx="3">
                  <c:v>48</c:v>
                </c:pt>
                <c:pt idx="4">
                  <c:v>35</c:v>
                </c:pt>
              </c:numCache>
            </c:numRef>
          </c:val>
          <c:extLst>
            <c:ext xmlns:c16="http://schemas.microsoft.com/office/drawing/2014/chart" uri="{C3380CC4-5D6E-409C-BE32-E72D297353CC}">
              <c16:uniqueId val="{00000002-D412-457E-BE04-0F0034BF2F32}"/>
            </c:ext>
          </c:extLst>
        </c:ser>
        <c:ser>
          <c:idx val="3"/>
          <c:order val="3"/>
          <c:tx>
            <c:strRef>
              <c:f>Claims!$E$1</c:f>
              <c:strCache>
                <c:ptCount val="1"/>
                <c:pt idx="0">
                  <c:v>Del Norte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Claims!$A$3:$A$7</c:f>
              <c:strCache>
                <c:ptCount val="5"/>
                <c:pt idx="0">
                  <c:v>FY2020-2021</c:v>
                </c:pt>
                <c:pt idx="1">
                  <c:v>FY2021-2022</c:v>
                </c:pt>
                <c:pt idx="2">
                  <c:v>FY2022-2023</c:v>
                </c:pt>
                <c:pt idx="3">
                  <c:v>FY2023-2024</c:v>
                </c:pt>
                <c:pt idx="4">
                  <c:v>FY2024-2025</c:v>
                </c:pt>
              </c:strCache>
            </c:strRef>
          </c:cat>
          <c:val>
            <c:numRef>
              <c:f>Claims!$E$3:$E$7</c:f>
              <c:numCache>
                <c:formatCode>General</c:formatCode>
                <c:ptCount val="5"/>
                <c:pt idx="0">
                  <c:v>190</c:v>
                </c:pt>
                <c:pt idx="1">
                  <c:v>176</c:v>
                </c:pt>
                <c:pt idx="2">
                  <c:v>434</c:v>
                </c:pt>
                <c:pt idx="3">
                  <c:v>336</c:v>
                </c:pt>
                <c:pt idx="4">
                  <c:v>183</c:v>
                </c:pt>
              </c:numCache>
            </c:numRef>
          </c:val>
          <c:extLst>
            <c:ext xmlns:c16="http://schemas.microsoft.com/office/drawing/2014/chart" uri="{C3380CC4-5D6E-409C-BE32-E72D297353CC}">
              <c16:uniqueId val="{00000003-D412-457E-BE04-0F0034BF2F32}"/>
            </c:ext>
          </c:extLst>
        </c:ser>
        <c:ser>
          <c:idx val="4"/>
          <c:order val="4"/>
          <c:tx>
            <c:strRef>
              <c:f>Claims!$F$1</c:f>
              <c:strCache>
                <c:ptCount val="1"/>
                <c:pt idx="0">
                  <c:v>Lassen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Claims!$A$3:$A$7</c:f>
              <c:strCache>
                <c:ptCount val="5"/>
                <c:pt idx="0">
                  <c:v>FY2020-2021</c:v>
                </c:pt>
                <c:pt idx="1">
                  <c:v>FY2021-2022</c:v>
                </c:pt>
                <c:pt idx="2">
                  <c:v>FY2022-2023</c:v>
                </c:pt>
                <c:pt idx="3">
                  <c:v>FY2023-2024</c:v>
                </c:pt>
                <c:pt idx="4">
                  <c:v>FY2024-2025</c:v>
                </c:pt>
              </c:strCache>
            </c:strRef>
          </c:cat>
          <c:val>
            <c:numRef>
              <c:f>Claims!$F$3:$F$7</c:f>
              <c:numCache>
                <c:formatCode>General</c:formatCode>
                <c:ptCount val="5"/>
                <c:pt idx="0">
                  <c:v>128</c:v>
                </c:pt>
                <c:pt idx="1">
                  <c:v>140</c:v>
                </c:pt>
                <c:pt idx="2">
                  <c:v>285</c:v>
                </c:pt>
                <c:pt idx="3">
                  <c:v>302</c:v>
                </c:pt>
                <c:pt idx="4">
                  <c:v>168</c:v>
                </c:pt>
              </c:numCache>
            </c:numRef>
          </c:val>
          <c:extLst>
            <c:ext xmlns:c16="http://schemas.microsoft.com/office/drawing/2014/chart" uri="{C3380CC4-5D6E-409C-BE32-E72D297353CC}">
              <c16:uniqueId val="{00000004-D412-457E-BE04-0F0034BF2F32}"/>
            </c:ext>
          </c:extLst>
        </c:ser>
        <c:dLbls>
          <c:showLegendKey val="0"/>
          <c:showVal val="0"/>
          <c:showCatName val="0"/>
          <c:showSerName val="0"/>
          <c:showPercent val="0"/>
          <c:showBubbleSize val="0"/>
        </c:dLbls>
        <c:gapWidth val="260"/>
        <c:overlap val="-75"/>
        <c:axId val="1154615007"/>
        <c:axId val="1154616927"/>
      </c:barChart>
      <c:catAx>
        <c:axId val="1154615007"/>
        <c:scaling>
          <c:orientation val="minMax"/>
        </c:scaling>
        <c:delete val="0"/>
        <c:axPos val="b"/>
        <c:title>
          <c:tx>
            <c:strRef>
              <c:f>Claims!$I$2</c:f>
              <c:strCache>
                <c:ptCount val="1"/>
                <c:pt idx="0">
                  <c:v>Fiscal Year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616927"/>
        <c:crosses val="autoZero"/>
        <c:auto val="1"/>
        <c:lblAlgn val="ctr"/>
        <c:lblOffset val="100"/>
        <c:noMultiLvlLbl val="0"/>
      </c:catAx>
      <c:valAx>
        <c:axId val="1154616927"/>
        <c:scaling>
          <c:orientation val="minMax"/>
        </c:scaling>
        <c:delete val="0"/>
        <c:axPos val="l"/>
        <c:majorGridlines>
          <c:spPr>
            <a:ln w="9525" cap="flat" cmpd="sng" algn="ctr">
              <a:solidFill>
                <a:schemeClr val="tx1">
                  <a:lumMod val="15000"/>
                  <a:lumOff val="85000"/>
                </a:schemeClr>
              </a:solidFill>
              <a:round/>
            </a:ln>
            <a:effectLst/>
          </c:spPr>
        </c:majorGridlines>
        <c:title>
          <c:tx>
            <c:strRef>
              <c:f>Claims!$I$3</c:f>
              <c:strCache>
                <c:ptCount val="1"/>
                <c:pt idx="0">
                  <c:v>Number of Claims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615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'Plumas%'!$L$9</c:f>
          <c:strCache>
            <c:ptCount val="1"/>
            <c:pt idx="0">
              <c:v>Total New Awards Obtained by CVSO in Plumas County by Fiscal Year</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'Plumas%'!$M$3:$M$7</c:f>
              <c:strCache>
                <c:ptCount val="5"/>
                <c:pt idx="0">
                  <c:v>FY2020-2021</c:v>
                </c:pt>
                <c:pt idx="1">
                  <c:v>FY2021-2022</c:v>
                </c:pt>
                <c:pt idx="2">
                  <c:v>FY2022-2023</c:v>
                </c:pt>
                <c:pt idx="3">
                  <c:v>FY2023-2024</c:v>
                </c:pt>
                <c:pt idx="4">
                  <c:v>FY2024-2025</c:v>
                </c:pt>
              </c:strCache>
            </c:strRef>
          </c:cat>
          <c:val>
            <c:numRef>
              <c:f>'Plumas%'!$N$3:$N$7</c:f>
              <c:numCache>
                <c:formatCode>General</c:formatCode>
                <c:ptCount val="5"/>
                <c:pt idx="0">
                  <c:v>1327521</c:v>
                </c:pt>
                <c:pt idx="1">
                  <c:v>951971</c:v>
                </c:pt>
                <c:pt idx="2">
                  <c:v>1500069</c:v>
                </c:pt>
                <c:pt idx="3">
                  <c:v>1404316</c:v>
                </c:pt>
                <c:pt idx="4">
                  <c:v>2431330</c:v>
                </c:pt>
              </c:numCache>
            </c:numRef>
          </c:val>
          <c:extLst>
            <c:ext xmlns:c16="http://schemas.microsoft.com/office/drawing/2014/chart" uri="{C3380CC4-5D6E-409C-BE32-E72D297353CC}">
              <c16:uniqueId val="{00000000-F079-405D-BBC6-56A9F2B6516C}"/>
            </c:ext>
          </c:extLst>
        </c:ser>
        <c:ser>
          <c:idx val="1"/>
          <c:order val="1"/>
          <c:spPr>
            <a:noFill/>
            <a:ln>
              <a:noFill/>
            </a:ln>
            <a:effectLst/>
          </c:spPr>
          <c:invertIfNegative val="0"/>
          <c:dLbls>
            <c:dLbl>
              <c:idx val="0"/>
              <c:tx>
                <c:rich>
                  <a:bodyPr/>
                  <a:lstStyle/>
                  <a:p>
                    <a:fld id="{9D1A237E-DB2D-4020-A406-133CC30447D8}"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079-405D-BBC6-56A9F2B6516C}"/>
                </c:ext>
              </c:extLst>
            </c:dLbl>
            <c:dLbl>
              <c:idx val="1"/>
              <c:tx>
                <c:rich>
                  <a:bodyPr/>
                  <a:lstStyle/>
                  <a:p>
                    <a:fld id="{22D59A0F-5434-4FDF-8816-168445A7C088}"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F079-405D-BBC6-56A9F2B6516C}"/>
                </c:ext>
              </c:extLst>
            </c:dLbl>
            <c:dLbl>
              <c:idx val="2"/>
              <c:tx>
                <c:rich>
                  <a:bodyPr/>
                  <a:lstStyle/>
                  <a:p>
                    <a:fld id="{C6586BAD-BB0B-42D7-B1C1-7A4885DC804C}"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079-405D-BBC6-56A9F2B6516C}"/>
                </c:ext>
              </c:extLst>
            </c:dLbl>
            <c:dLbl>
              <c:idx val="3"/>
              <c:tx>
                <c:rich>
                  <a:bodyPr/>
                  <a:lstStyle/>
                  <a:p>
                    <a:fld id="{9963A59F-4359-435F-A8AA-B3017CB0FDB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F079-405D-BBC6-56A9F2B6516C}"/>
                </c:ext>
              </c:extLst>
            </c:dLbl>
            <c:dLbl>
              <c:idx val="4"/>
              <c:tx>
                <c:rich>
                  <a:bodyPr/>
                  <a:lstStyle/>
                  <a:p>
                    <a:endParaRPr lang="en-US"/>
                  </a:p>
                </c:rich>
              </c:tx>
              <c:dLblPos val="inEnd"/>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05-F079-405D-BBC6-56A9F2B651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'Plumas%'!$Q$3:$Q$6</c:f>
                <c:numCache>
                  <c:formatCode>General</c:formatCode>
                  <c:ptCount val="4"/>
                  <c:pt idx="0">
                    <c:v>0</c:v>
                  </c:pt>
                  <c:pt idx="1">
                    <c:v>-548098</c:v>
                  </c:pt>
                  <c:pt idx="2">
                    <c:v>0</c:v>
                  </c:pt>
                  <c:pt idx="3">
                    <c:v>-1027014</c:v>
                  </c:pt>
                </c:numCache>
              </c:numRef>
            </c:plus>
            <c:minus>
              <c:numRef>
                <c:f>'Plumas%'!$R$3:$R$6</c:f>
                <c:numCache>
                  <c:formatCode>General</c:formatCode>
                  <c:ptCount val="4"/>
                  <c:pt idx="0">
                    <c:v>-375550</c:v>
                  </c:pt>
                  <c:pt idx="1">
                    <c:v>0</c:v>
                  </c:pt>
                  <c:pt idx="2">
                    <c:v>-95753</c:v>
                  </c:pt>
                  <c:pt idx="3">
                    <c:v>0</c:v>
                  </c:pt>
                </c:numCache>
              </c:numRef>
            </c:minus>
            <c:spPr>
              <a:noFill/>
              <a:ln w="9525" cap="flat" cmpd="sng" algn="ctr">
                <a:solidFill>
                  <a:schemeClr val="tx1">
                    <a:lumMod val="65000"/>
                    <a:lumOff val="35000"/>
                  </a:schemeClr>
                </a:solidFill>
                <a:round/>
              </a:ln>
              <a:effectLst/>
            </c:spPr>
          </c:errBars>
          <c:cat>
            <c:strRef>
              <c:f>'Plumas%'!$M$3:$M$7</c:f>
              <c:strCache>
                <c:ptCount val="5"/>
                <c:pt idx="0">
                  <c:v>FY2020-2021</c:v>
                </c:pt>
                <c:pt idx="1">
                  <c:v>FY2021-2022</c:v>
                </c:pt>
                <c:pt idx="2">
                  <c:v>FY2022-2023</c:v>
                </c:pt>
                <c:pt idx="3">
                  <c:v>FY2023-2024</c:v>
                </c:pt>
                <c:pt idx="4">
                  <c:v>FY2024-2025</c:v>
                </c:pt>
              </c:strCache>
            </c:strRef>
          </c:cat>
          <c:val>
            <c:numRef>
              <c:f>'Plumas%'!$O$3:$O$7</c:f>
              <c:numCache>
                <c:formatCode>General</c:formatCode>
                <c:ptCount val="5"/>
                <c:pt idx="0">
                  <c:v>951971</c:v>
                </c:pt>
                <c:pt idx="1">
                  <c:v>1500069</c:v>
                </c:pt>
                <c:pt idx="2">
                  <c:v>1404316</c:v>
                </c:pt>
                <c:pt idx="3">
                  <c:v>2431330</c:v>
                </c:pt>
              </c:numCache>
            </c:numRef>
          </c:val>
          <c:extLst>
            <c:ext xmlns:c15="http://schemas.microsoft.com/office/drawing/2012/chart" uri="{02D57815-91ED-43cb-92C2-25804820EDAC}">
              <c15:datalabelsRange>
                <c15:f>'Plumas%'!$S$3:$S$6</c15:f>
                <c15:dlblRangeCache>
                  <c:ptCount val="4"/>
                  <c:pt idx="0">
                    <c:v>-28%</c:v>
                  </c:pt>
                  <c:pt idx="1">
                    <c:v>58%</c:v>
                  </c:pt>
                  <c:pt idx="2">
                    <c:v>-6%</c:v>
                  </c:pt>
                  <c:pt idx="3">
                    <c:v>73%</c:v>
                  </c:pt>
                </c15:dlblRangeCache>
              </c15:datalabelsRange>
            </c:ext>
            <c:ext xmlns:c16="http://schemas.microsoft.com/office/drawing/2014/chart" uri="{C3380CC4-5D6E-409C-BE32-E72D297353CC}">
              <c16:uniqueId val="{00000006-F079-405D-BBC6-56A9F2B6516C}"/>
            </c:ext>
          </c:extLst>
        </c:ser>
        <c:dLbls>
          <c:dLblPos val="inEnd"/>
          <c:showLegendKey val="0"/>
          <c:showVal val="1"/>
          <c:showCatName val="0"/>
          <c:showSerName val="0"/>
          <c:showPercent val="0"/>
          <c:showBubbleSize val="0"/>
        </c:dLbls>
        <c:gapWidth val="0"/>
        <c:axId val="401044720"/>
        <c:axId val="401045200"/>
      </c:barChart>
      <c:catAx>
        <c:axId val="401044720"/>
        <c:scaling>
          <c:orientation val="minMax"/>
        </c:scaling>
        <c:delete val="0"/>
        <c:axPos val="b"/>
        <c:title>
          <c:tx>
            <c:strRef>
              <c:f>'Plumas%'!$L$10</c:f>
              <c:strCache>
                <c:ptCount val="1"/>
                <c:pt idx="0">
                  <c:v>Fiscal Year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5200"/>
        <c:crosses val="autoZero"/>
        <c:auto val="1"/>
        <c:lblAlgn val="ctr"/>
        <c:lblOffset val="100"/>
        <c:noMultiLvlLbl val="0"/>
      </c:catAx>
      <c:valAx>
        <c:axId val="401045200"/>
        <c:scaling>
          <c:orientation val="minMax"/>
        </c:scaling>
        <c:delete val="0"/>
        <c:axPos val="l"/>
        <c:majorGridlines>
          <c:spPr>
            <a:ln w="9525" cap="flat" cmpd="sng" algn="ctr">
              <a:solidFill>
                <a:schemeClr val="tx1">
                  <a:lumMod val="15000"/>
                  <a:lumOff val="85000"/>
                </a:schemeClr>
              </a:solidFill>
              <a:round/>
            </a:ln>
            <a:effectLst/>
          </c:spPr>
        </c:majorGridlines>
        <c:title>
          <c:tx>
            <c:strRef>
              <c:f>'Plumas%'!$L$11</c:f>
              <c:strCache>
                <c:ptCount val="1"/>
                <c:pt idx="0">
                  <c:v>Award Amount ($)</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47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TotAwards!$I$1</c:f>
          <c:strCache>
            <c:ptCount val="1"/>
            <c:pt idx="0">
              <c:v>Total New Awards Obtained due to CVSO by Fiscal Year between Plumas County and Other Similar Counties</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TotAwards!$B$1</c:f>
              <c:strCache>
                <c:ptCount val="1"/>
                <c:pt idx="0">
                  <c:v>Plumas</c:v>
                </c:pt>
              </c:strCache>
            </c:strRef>
          </c:tx>
          <c:spPr>
            <a:solidFill>
              <a:schemeClr val="accent1"/>
            </a:solidFill>
            <a:ln w="12700">
              <a:solidFill>
                <a:srgbClr val="FF0000"/>
              </a:solidFill>
              <a:prstDash val="dash"/>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TotAwards!$A$3:$A$7</c:f>
              <c:strCache>
                <c:ptCount val="5"/>
                <c:pt idx="0">
                  <c:v>FY2020-2021</c:v>
                </c:pt>
                <c:pt idx="1">
                  <c:v>FY2021-2022</c:v>
                </c:pt>
                <c:pt idx="2">
                  <c:v>FY2022-2023</c:v>
                </c:pt>
                <c:pt idx="3">
                  <c:v>FY2023-2024</c:v>
                </c:pt>
                <c:pt idx="4">
                  <c:v>FY2024-2025</c:v>
                </c:pt>
              </c:strCache>
            </c:strRef>
          </c:cat>
          <c:val>
            <c:numRef>
              <c:f>TotAwards!$B$3:$B$7</c:f>
              <c:numCache>
                <c:formatCode>0</c:formatCode>
                <c:ptCount val="5"/>
                <c:pt idx="0">
                  <c:v>1327.521</c:v>
                </c:pt>
                <c:pt idx="1">
                  <c:v>951.971</c:v>
                </c:pt>
                <c:pt idx="2">
                  <c:v>1500.069</c:v>
                </c:pt>
                <c:pt idx="3">
                  <c:v>1404.316</c:v>
                </c:pt>
                <c:pt idx="4">
                  <c:v>2431.33</c:v>
                </c:pt>
              </c:numCache>
            </c:numRef>
          </c:val>
          <c:extLst>
            <c:ext xmlns:c16="http://schemas.microsoft.com/office/drawing/2014/chart" uri="{C3380CC4-5D6E-409C-BE32-E72D297353CC}">
              <c16:uniqueId val="{00000000-9D18-4570-8CC9-931DD60ED953}"/>
            </c:ext>
          </c:extLst>
        </c:ser>
        <c:ser>
          <c:idx val="1"/>
          <c:order val="1"/>
          <c:tx>
            <c:strRef>
              <c:f>TotAwards!$C$1</c:f>
              <c:strCache>
                <c:ptCount val="1"/>
                <c:pt idx="0">
                  <c:v>Inyo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TotAwards!$A$3:$A$7</c:f>
              <c:strCache>
                <c:ptCount val="5"/>
                <c:pt idx="0">
                  <c:v>FY2020-2021</c:v>
                </c:pt>
                <c:pt idx="1">
                  <c:v>FY2021-2022</c:v>
                </c:pt>
                <c:pt idx="2">
                  <c:v>FY2022-2023</c:v>
                </c:pt>
                <c:pt idx="3">
                  <c:v>FY2023-2024</c:v>
                </c:pt>
                <c:pt idx="4">
                  <c:v>FY2024-2025</c:v>
                </c:pt>
              </c:strCache>
            </c:strRef>
          </c:cat>
          <c:val>
            <c:numRef>
              <c:f>TotAwards!$C$3:$C$7</c:f>
              <c:numCache>
                <c:formatCode>0</c:formatCode>
                <c:ptCount val="5"/>
                <c:pt idx="0">
                  <c:v>85.855000000000004</c:v>
                </c:pt>
                <c:pt idx="1">
                  <c:v>349.36500000000001</c:v>
                </c:pt>
                <c:pt idx="2">
                  <c:v>607.19600000000003</c:v>
                </c:pt>
                <c:pt idx="3">
                  <c:v>924.06899999999996</c:v>
                </c:pt>
                <c:pt idx="4">
                  <c:v>610.03300000000002</c:v>
                </c:pt>
              </c:numCache>
            </c:numRef>
          </c:val>
          <c:extLst>
            <c:ext xmlns:c16="http://schemas.microsoft.com/office/drawing/2014/chart" uri="{C3380CC4-5D6E-409C-BE32-E72D297353CC}">
              <c16:uniqueId val="{00000001-9D18-4570-8CC9-931DD60ED953}"/>
            </c:ext>
          </c:extLst>
        </c:ser>
        <c:ser>
          <c:idx val="2"/>
          <c:order val="2"/>
          <c:tx>
            <c:strRef>
              <c:f>TotAwards!$D$1</c:f>
              <c:strCache>
                <c:ptCount val="1"/>
                <c:pt idx="0">
                  <c:v>Mariposa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TotAwards!$A$3:$A$7</c:f>
              <c:strCache>
                <c:ptCount val="5"/>
                <c:pt idx="0">
                  <c:v>FY2020-2021</c:v>
                </c:pt>
                <c:pt idx="1">
                  <c:v>FY2021-2022</c:v>
                </c:pt>
                <c:pt idx="2">
                  <c:v>FY2022-2023</c:v>
                </c:pt>
                <c:pt idx="3">
                  <c:v>FY2023-2024</c:v>
                </c:pt>
                <c:pt idx="4">
                  <c:v>FY2024-2025</c:v>
                </c:pt>
              </c:strCache>
            </c:strRef>
          </c:cat>
          <c:val>
            <c:numRef>
              <c:f>TotAwards!$D$3:$D$7</c:f>
              <c:numCache>
                <c:formatCode>0</c:formatCode>
                <c:ptCount val="5"/>
                <c:pt idx="0">
                  <c:v>32.707999999999998</c:v>
                </c:pt>
                <c:pt idx="1">
                  <c:v>105.898</c:v>
                </c:pt>
                <c:pt idx="2">
                  <c:v>8.0229999999999997</c:v>
                </c:pt>
                <c:pt idx="3">
                  <c:v>165.869</c:v>
                </c:pt>
                <c:pt idx="4">
                  <c:v>273.10199999999998</c:v>
                </c:pt>
              </c:numCache>
            </c:numRef>
          </c:val>
          <c:extLst>
            <c:ext xmlns:c16="http://schemas.microsoft.com/office/drawing/2014/chart" uri="{C3380CC4-5D6E-409C-BE32-E72D297353CC}">
              <c16:uniqueId val="{00000002-9D18-4570-8CC9-931DD60ED953}"/>
            </c:ext>
          </c:extLst>
        </c:ser>
        <c:ser>
          <c:idx val="3"/>
          <c:order val="3"/>
          <c:tx>
            <c:strRef>
              <c:f>TotAwards!$E$1</c:f>
              <c:strCache>
                <c:ptCount val="1"/>
                <c:pt idx="0">
                  <c:v>Del Norte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TotAwards!$A$3:$A$7</c:f>
              <c:strCache>
                <c:ptCount val="5"/>
                <c:pt idx="0">
                  <c:v>FY2020-2021</c:v>
                </c:pt>
                <c:pt idx="1">
                  <c:v>FY2021-2022</c:v>
                </c:pt>
                <c:pt idx="2">
                  <c:v>FY2022-2023</c:v>
                </c:pt>
                <c:pt idx="3">
                  <c:v>FY2023-2024</c:v>
                </c:pt>
                <c:pt idx="4">
                  <c:v>FY2024-2025</c:v>
                </c:pt>
              </c:strCache>
            </c:strRef>
          </c:cat>
          <c:val>
            <c:numRef>
              <c:f>TotAwards!$E$3:$E$7</c:f>
              <c:numCache>
                <c:formatCode>0</c:formatCode>
                <c:ptCount val="5"/>
                <c:pt idx="0">
                  <c:v>623.31700000000001</c:v>
                </c:pt>
                <c:pt idx="1">
                  <c:v>468.21199999999999</c:v>
                </c:pt>
                <c:pt idx="2">
                  <c:v>580.61099999999999</c:v>
                </c:pt>
                <c:pt idx="3">
                  <c:v>763.822</c:v>
                </c:pt>
                <c:pt idx="4">
                  <c:v>687.95899999999995</c:v>
                </c:pt>
              </c:numCache>
            </c:numRef>
          </c:val>
          <c:extLst>
            <c:ext xmlns:c16="http://schemas.microsoft.com/office/drawing/2014/chart" uri="{C3380CC4-5D6E-409C-BE32-E72D297353CC}">
              <c16:uniqueId val="{00000003-9D18-4570-8CC9-931DD60ED953}"/>
            </c:ext>
          </c:extLst>
        </c:ser>
        <c:ser>
          <c:idx val="4"/>
          <c:order val="4"/>
          <c:tx>
            <c:strRef>
              <c:f>TotAwards!$F$1</c:f>
              <c:strCache>
                <c:ptCount val="1"/>
                <c:pt idx="0">
                  <c:v>Lassen</c:v>
                </c:pt>
              </c:strCache>
            </c:strRef>
          </c:tx>
          <c:spPr>
            <a:solidFill>
              <a:schemeClr val="accent5"/>
            </a:solidFill>
            <a:ln>
              <a:noFill/>
            </a:ln>
            <a:effectLst/>
          </c:spPr>
          <c:invertIfNegative val="0"/>
          <c:dLbls>
            <c:dLbl>
              <c:idx val="3"/>
              <c:layout>
                <c:manualLayout>
                  <c:x val="0"/>
                  <c:y val="7.554296506137934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18-4570-8CC9-931DD60ED9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TotAwards!$A$3:$A$7</c:f>
              <c:strCache>
                <c:ptCount val="5"/>
                <c:pt idx="0">
                  <c:v>FY2020-2021</c:v>
                </c:pt>
                <c:pt idx="1">
                  <c:v>FY2021-2022</c:v>
                </c:pt>
                <c:pt idx="2">
                  <c:v>FY2022-2023</c:v>
                </c:pt>
                <c:pt idx="3">
                  <c:v>FY2023-2024</c:v>
                </c:pt>
                <c:pt idx="4">
                  <c:v>FY2024-2025</c:v>
                </c:pt>
              </c:strCache>
            </c:strRef>
          </c:cat>
          <c:val>
            <c:numRef>
              <c:f>TotAwards!$F$3:$F$7</c:f>
              <c:numCache>
                <c:formatCode>0</c:formatCode>
                <c:ptCount val="5"/>
                <c:pt idx="0">
                  <c:v>73.204999999999998</c:v>
                </c:pt>
                <c:pt idx="1">
                  <c:v>955.654</c:v>
                </c:pt>
                <c:pt idx="2">
                  <c:v>789.56799999999998</c:v>
                </c:pt>
                <c:pt idx="3">
                  <c:v>729.18200000000002</c:v>
                </c:pt>
                <c:pt idx="4">
                  <c:v>961.64800000000002</c:v>
                </c:pt>
              </c:numCache>
            </c:numRef>
          </c:val>
          <c:extLst>
            <c:ext xmlns:c16="http://schemas.microsoft.com/office/drawing/2014/chart" uri="{C3380CC4-5D6E-409C-BE32-E72D297353CC}">
              <c16:uniqueId val="{00000005-9D18-4570-8CC9-931DD60ED953}"/>
            </c:ext>
          </c:extLst>
        </c:ser>
        <c:dLbls>
          <c:dLblPos val="outEnd"/>
          <c:showLegendKey val="0"/>
          <c:showVal val="1"/>
          <c:showCatName val="0"/>
          <c:showSerName val="0"/>
          <c:showPercent val="0"/>
          <c:showBubbleSize val="0"/>
        </c:dLbls>
        <c:gapWidth val="250"/>
        <c:overlap val="-75"/>
        <c:axId val="1435524639"/>
        <c:axId val="1435522719"/>
      </c:barChart>
      <c:catAx>
        <c:axId val="1435524639"/>
        <c:scaling>
          <c:orientation val="minMax"/>
        </c:scaling>
        <c:delete val="0"/>
        <c:axPos val="b"/>
        <c:title>
          <c:tx>
            <c:strRef>
              <c:f>TotAwards!$I$2</c:f>
              <c:strCache>
                <c:ptCount val="1"/>
                <c:pt idx="0">
                  <c:v>Fiscal Year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5522719"/>
        <c:crosses val="autoZero"/>
        <c:auto val="1"/>
        <c:lblAlgn val="ctr"/>
        <c:lblOffset val="100"/>
        <c:noMultiLvlLbl val="0"/>
      </c:catAx>
      <c:valAx>
        <c:axId val="1435522719"/>
        <c:scaling>
          <c:orientation val="minMax"/>
        </c:scaling>
        <c:delete val="0"/>
        <c:axPos val="l"/>
        <c:majorGridlines>
          <c:spPr>
            <a:ln w="9525" cap="flat" cmpd="sng" algn="ctr">
              <a:solidFill>
                <a:schemeClr val="tx1">
                  <a:lumMod val="15000"/>
                  <a:lumOff val="85000"/>
                </a:schemeClr>
              </a:solidFill>
              <a:round/>
            </a:ln>
            <a:effectLst/>
          </c:spPr>
        </c:majorGridlines>
        <c:title>
          <c:tx>
            <c:strRef>
              <c:f>TotAwards!$I$3</c:f>
              <c:strCache>
                <c:ptCount val="1"/>
                <c:pt idx="0">
                  <c:v>Award Amount ($) by Thousands</c:v>
                </c:pt>
              </c:strCache>
            </c:strRef>
          </c:tx>
          <c:layout>
            <c:manualLayout>
              <c:xMode val="edge"/>
              <c:yMode val="edge"/>
              <c:x val="1.937984496124031E-2"/>
              <c:y val="0.204985835694050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55246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8</Pages>
  <Words>1063</Words>
  <Characters>6064</Characters>
  <Application>Microsoft Office Word</Application>
  <DocSecurity>0</DocSecurity>
  <Lines>224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Arcangel, Loriel</dc:creator>
  <cp:keywords/>
  <dc:description/>
  <cp:lastModifiedBy>Arcangel, Loriel</cp:lastModifiedBy>
  <cp:revision>120</cp:revision>
  <dcterms:created xsi:type="dcterms:W3CDTF">2026-04-07T17:05:00Z</dcterms:created>
  <dcterms:modified xsi:type="dcterms:W3CDTF">2026-08-18T14:47:00Z</dcterms:modified>
</cp:coreProperties>
</file>